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0D7A37E1"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EC5AC7">
        <w:rPr>
          <w:rFonts w:ascii="Arial" w:hAnsi="Arial" w:cs="Arial"/>
          <w:b/>
          <w:bCs/>
        </w:rPr>
        <w:t>3</w:t>
      </w:r>
      <w:r w:rsidR="00685938">
        <w:rPr>
          <w:rFonts w:ascii="Arial" w:hAnsi="Arial" w:cs="Arial"/>
          <w:b/>
          <w:bCs/>
        </w:rPr>
        <w:t>-e</w:t>
      </w:r>
      <w:r w:rsidRPr="00E847D0">
        <w:rPr>
          <w:rFonts w:ascii="Arial" w:hAnsi="Arial" w:cs="Arial"/>
          <w:b/>
          <w:bCs/>
        </w:rPr>
        <w:tab/>
      </w:r>
      <w:r w:rsidRPr="00E847D0">
        <w:rPr>
          <w:rFonts w:ascii="Arial" w:hAnsi="Arial" w:cs="Arial"/>
          <w:b/>
          <w:bCs/>
        </w:rPr>
        <w:tab/>
      </w:r>
      <w:r w:rsidR="00000CE1" w:rsidRPr="00000CE1">
        <w:rPr>
          <w:rFonts w:ascii="Arial" w:hAnsi="Arial" w:cs="Arial"/>
          <w:b/>
          <w:bCs/>
        </w:rPr>
        <w:t>R1-2008458</w:t>
      </w:r>
    </w:p>
    <w:p w14:paraId="6C8A1BE6" w14:textId="77777777" w:rsidR="00EC5AC7" w:rsidRPr="00D66952" w:rsidRDefault="00EC5AC7" w:rsidP="00EC5AC7">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Pr="002B7E2A">
        <w:rPr>
          <w:rFonts w:ascii="Arial" w:eastAsia="MS Mincho" w:hAnsi="Arial" w:cs="Arial"/>
          <w:b/>
          <w:bCs/>
          <w:lang w:val="en-GB" w:eastAsia="ja-JP"/>
        </w:rPr>
        <w:t>October 26</w:t>
      </w:r>
      <w:r w:rsidRPr="002B7E2A">
        <w:rPr>
          <w:rFonts w:ascii="Arial" w:eastAsia="MS Mincho" w:hAnsi="Arial" w:cs="Arial"/>
          <w:b/>
          <w:bCs/>
          <w:vertAlign w:val="superscript"/>
          <w:lang w:val="en-GB" w:eastAsia="ja-JP"/>
        </w:rPr>
        <w:t>th</w:t>
      </w:r>
      <w:r w:rsidRPr="002B7E2A">
        <w:rPr>
          <w:rFonts w:ascii="Arial" w:eastAsia="MS Mincho" w:hAnsi="Arial" w:cs="Arial"/>
          <w:b/>
          <w:bCs/>
          <w:lang w:val="en-GB" w:eastAsia="ja-JP"/>
        </w:rPr>
        <w:t xml:space="preserve"> – November 13</w:t>
      </w:r>
      <w:r w:rsidRPr="002B7E2A">
        <w:rPr>
          <w:rFonts w:ascii="Arial" w:eastAsia="MS Mincho" w:hAnsi="Arial" w:cs="Arial"/>
          <w:b/>
          <w:bCs/>
          <w:vertAlign w:val="superscript"/>
          <w:lang w:val="en-GB" w:eastAsia="ja-JP"/>
        </w:rPr>
        <w:t>th</w:t>
      </w:r>
      <w:r w:rsidRPr="002B7E2A">
        <w:rPr>
          <w:rFonts w:ascii="Arial" w:eastAsia="MS Mincho" w:hAnsi="Arial" w:cs="Arial"/>
          <w:b/>
          <w:bCs/>
          <w:lang w:val="en-GB"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4858832F"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970AA3">
        <w:rPr>
          <w:sz w:val="22"/>
          <w:szCs w:val="22"/>
        </w:rPr>
        <w:t>2</w:t>
      </w:r>
      <w:r w:rsidR="00685938">
        <w:rPr>
          <w:sz w:val="22"/>
          <w:szCs w:val="22"/>
        </w:rPr>
        <w:t>.</w:t>
      </w:r>
      <w:r w:rsidR="00932A93">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B03773D" w:rsidR="00B23EB7" w:rsidRDefault="00B23EB7" w:rsidP="00B23EB7">
      <w:pPr>
        <w:pStyle w:val="3GPPHeader"/>
        <w:rPr>
          <w:sz w:val="22"/>
          <w:szCs w:val="22"/>
        </w:rPr>
      </w:pPr>
      <w:r w:rsidRPr="00315C6E">
        <w:rPr>
          <w:sz w:val="22"/>
          <w:szCs w:val="22"/>
        </w:rPr>
        <w:t>Title:</w:t>
      </w:r>
      <w:r w:rsidRPr="00315C6E">
        <w:rPr>
          <w:sz w:val="22"/>
          <w:szCs w:val="22"/>
        </w:rPr>
        <w:tab/>
      </w:r>
      <w:r w:rsidR="007B5B1F">
        <w:rPr>
          <w:sz w:val="22"/>
          <w:szCs w:val="22"/>
        </w:rPr>
        <w:t xml:space="preserve">Views on </w:t>
      </w:r>
      <w:r w:rsidR="00A25CB0" w:rsidRPr="00A25CB0">
        <w:rPr>
          <w:sz w:val="22"/>
          <w:szCs w:val="22"/>
        </w:rPr>
        <w:t>Channel Access Mechanisms  for Unlicensed Access above 52.6 GHz</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63402197" w14:textId="0C08D922" w:rsidR="003715EE" w:rsidRDefault="00034C09" w:rsidP="008E4530">
      <w:pPr>
        <w:pStyle w:val="0Maintext"/>
        <w:spacing w:after="0" w:afterAutospacing="0" w:line="240" w:lineRule="auto"/>
        <w:ind w:firstLine="0"/>
        <w:rPr>
          <w:sz w:val="22"/>
          <w:szCs w:val="22"/>
          <w:lang w:val="en-US"/>
        </w:rPr>
      </w:pPr>
      <w:r>
        <w:rPr>
          <w:sz w:val="22"/>
          <w:szCs w:val="22"/>
          <w:lang w:val="en-US"/>
        </w:rPr>
        <w:t>A</w:t>
      </w:r>
      <w:r w:rsidR="008F2E02">
        <w:rPr>
          <w:sz w:val="22"/>
          <w:szCs w:val="22"/>
          <w:lang w:val="en-US"/>
        </w:rPr>
        <w:t xml:space="preserve"> new </w:t>
      </w:r>
      <w:r>
        <w:rPr>
          <w:sz w:val="22"/>
          <w:szCs w:val="22"/>
          <w:lang w:val="en-US"/>
        </w:rPr>
        <w:t>study item</w:t>
      </w:r>
      <w:r w:rsidR="008F2E02">
        <w:rPr>
          <w:sz w:val="22"/>
          <w:szCs w:val="22"/>
          <w:lang w:val="en-US"/>
        </w:rPr>
        <w:t xml:space="preserve"> was proposed</w:t>
      </w:r>
      <w:r>
        <w:rPr>
          <w:sz w:val="22"/>
          <w:szCs w:val="22"/>
          <w:lang w:val="en-US"/>
        </w:rPr>
        <w:t xml:space="preserve"> in RAN #86</w:t>
      </w:r>
      <w:r w:rsidR="008F2E02">
        <w:rPr>
          <w:sz w:val="22"/>
          <w:szCs w:val="22"/>
          <w:lang w:val="en-US"/>
        </w:rPr>
        <w:t xml:space="preserve">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6B3305">
        <w:rPr>
          <w:sz w:val="22"/>
          <w:szCs w:val="22"/>
          <w:lang w:val="en-US"/>
        </w:rPr>
        <w:t>[1]</w:t>
      </w:r>
      <w:r>
        <w:rPr>
          <w:sz w:val="22"/>
          <w:szCs w:val="22"/>
          <w:lang w:val="en-US"/>
        </w:rPr>
        <w:fldChar w:fldCharType="end"/>
      </w:r>
      <w:r>
        <w:rPr>
          <w:sz w:val="22"/>
          <w:szCs w:val="22"/>
          <w:lang w:val="en-US"/>
        </w:rPr>
        <w:t xml:space="preserve"> and updated in RAN1 #88e </w:t>
      </w:r>
      <w:r>
        <w:rPr>
          <w:sz w:val="22"/>
          <w:szCs w:val="22"/>
          <w:lang w:val="en-US"/>
        </w:rPr>
        <w:fldChar w:fldCharType="begin"/>
      </w:r>
      <w:r>
        <w:rPr>
          <w:sz w:val="22"/>
          <w:szCs w:val="22"/>
          <w:lang w:val="en-US"/>
        </w:rPr>
        <w:instrText xml:space="preserve"> REF _Ref47610377 \r \h </w:instrText>
      </w:r>
      <w:r>
        <w:rPr>
          <w:sz w:val="22"/>
          <w:szCs w:val="22"/>
          <w:lang w:val="en-US"/>
        </w:rPr>
      </w:r>
      <w:r>
        <w:rPr>
          <w:sz w:val="22"/>
          <w:szCs w:val="22"/>
          <w:lang w:val="en-US"/>
        </w:rPr>
        <w:fldChar w:fldCharType="separate"/>
      </w:r>
      <w:r w:rsidR="006B3305">
        <w:rPr>
          <w:sz w:val="22"/>
          <w:szCs w:val="22"/>
          <w:lang w:val="en-US"/>
        </w:rPr>
        <w:t>[2]</w:t>
      </w:r>
      <w:r>
        <w:rPr>
          <w:sz w:val="22"/>
          <w:szCs w:val="22"/>
          <w:lang w:val="en-US"/>
        </w:rPr>
        <w:fldChar w:fldCharType="end"/>
      </w:r>
      <w:r>
        <w:rPr>
          <w:sz w:val="22"/>
          <w:szCs w:val="22"/>
          <w:lang w:val="en-US"/>
        </w:rPr>
        <w:t xml:space="preserve"> </w:t>
      </w:r>
      <w:r w:rsidR="008F2E02">
        <w:rPr>
          <w:sz w:val="22"/>
          <w:szCs w:val="22"/>
          <w:lang w:val="en-US"/>
        </w:rPr>
        <w:t xml:space="preserve">with a goal </w:t>
      </w:r>
      <w:r w:rsidR="00ED23BE">
        <w:rPr>
          <w:sz w:val="22"/>
          <w:szCs w:val="22"/>
          <w:lang w:val="en-US"/>
        </w:rPr>
        <w:t>to</w:t>
      </w:r>
      <w:r w:rsidR="008F2E02">
        <w:rPr>
          <w:sz w:val="22"/>
          <w:szCs w:val="22"/>
          <w:lang w:val="en-US"/>
        </w:rPr>
        <w:t>:</w:t>
      </w:r>
    </w:p>
    <w:p w14:paraId="238559FD" w14:textId="784E46C7" w:rsidR="00D32078" w:rsidRPr="00D32078" w:rsidRDefault="00D32078" w:rsidP="00790F07">
      <w:pPr>
        <w:pStyle w:val="ListParagraph"/>
        <w:numPr>
          <w:ilvl w:val="0"/>
          <w:numId w:val="3"/>
        </w:numPr>
        <w:ind w:leftChars="0"/>
        <w:rPr>
          <w:rFonts w:cs="Batang"/>
          <w:sz w:val="22"/>
          <w:szCs w:val="22"/>
          <w:lang w:eastAsia="en-US"/>
        </w:rPr>
      </w:pPr>
      <w:r w:rsidRPr="00D32078">
        <w:rPr>
          <w:rFonts w:cs="Batang"/>
          <w:sz w:val="22"/>
          <w:szCs w:val="22"/>
          <w:lang w:eastAsia="en-US"/>
        </w:rPr>
        <w:t>Study channel access mechanism</w:t>
      </w:r>
      <w:r w:rsidR="00ED23BE">
        <w:rPr>
          <w:rFonts w:cs="Batang"/>
          <w:sz w:val="22"/>
          <w:szCs w:val="22"/>
          <w:lang w:eastAsia="en-US"/>
        </w:rPr>
        <w:t>s</w:t>
      </w:r>
      <w:r w:rsidRPr="00D32078">
        <w:rPr>
          <w:rFonts w:cs="Batang"/>
          <w:sz w:val="22"/>
          <w:szCs w:val="22"/>
          <w:lang w:eastAsia="en-US"/>
        </w:rPr>
        <w:t xml:space="preserve"> assuming </w:t>
      </w:r>
      <w:r w:rsidR="008F2E02" w:rsidRPr="00D32078">
        <w:rPr>
          <w:rFonts w:cs="Batang"/>
          <w:sz w:val="22"/>
          <w:szCs w:val="22"/>
          <w:lang w:eastAsia="en-US"/>
        </w:rPr>
        <w:t>beam-based</w:t>
      </w:r>
      <w:r w:rsidRPr="00D32078">
        <w:rPr>
          <w:rFonts w:cs="Batang"/>
          <w:sz w:val="22"/>
          <w:szCs w:val="22"/>
          <w:lang w:eastAsia="en-US"/>
        </w:rPr>
        <w:t xml:space="preserve"> operation in order to comply with the regulatory requirements applicable to unlicensed spectrum for frequencies between 52.6 GHz and 71 GHz</w:t>
      </w:r>
      <w:r w:rsidR="00644D03">
        <w:rPr>
          <w:rFonts w:cs="Batang"/>
          <w:sz w:val="22"/>
          <w:szCs w:val="22"/>
          <w:lang w:eastAsia="en-US"/>
        </w:rPr>
        <w:t>.</w:t>
      </w:r>
      <w:r w:rsidRPr="00D32078">
        <w:rPr>
          <w:rFonts w:cs="Batang"/>
          <w:sz w:val="22"/>
          <w:szCs w:val="22"/>
          <w:lang w:eastAsia="en-US"/>
        </w:rPr>
        <w:t xml:space="preserve"> </w:t>
      </w:r>
    </w:p>
    <w:p w14:paraId="42089A07" w14:textId="77777777" w:rsidR="00D32078" w:rsidRPr="00D32078" w:rsidRDefault="00D32078" w:rsidP="00D32078">
      <w:pPr>
        <w:rPr>
          <w:rFonts w:cs="Batang"/>
          <w:sz w:val="22"/>
          <w:szCs w:val="22"/>
          <w:lang w:eastAsia="en-US"/>
        </w:rPr>
      </w:pPr>
    </w:p>
    <w:p w14:paraId="24A14C2D" w14:textId="0BA4F2A0" w:rsidR="005E4239" w:rsidRDefault="004372AA" w:rsidP="00D32078">
      <w:pPr>
        <w:jc w:val="both"/>
        <w:rPr>
          <w:rFonts w:cs="Batang"/>
          <w:i/>
          <w:iCs/>
          <w:sz w:val="22"/>
          <w:szCs w:val="22"/>
          <w:lang w:val="en-GB" w:eastAsia="en-US"/>
        </w:rPr>
      </w:pPr>
      <w:r>
        <w:rPr>
          <w:rFonts w:cs="Batang"/>
          <w:sz w:val="22"/>
          <w:szCs w:val="22"/>
          <w:lang w:eastAsia="en-US"/>
        </w:rPr>
        <w:t xml:space="preserve">In this contribution, we discuss </w:t>
      </w:r>
      <w:r w:rsidR="0011783E">
        <w:rPr>
          <w:rFonts w:cs="Batang"/>
          <w:sz w:val="22"/>
          <w:szCs w:val="22"/>
          <w:lang w:eastAsia="en-US"/>
        </w:rPr>
        <w:t xml:space="preserve">regulatory issues applicable to the spectrum between 52.6 GHz and 71 GHz and </w:t>
      </w:r>
      <w:r w:rsidR="00AC46E5">
        <w:rPr>
          <w:rFonts w:cs="Batang"/>
          <w:sz w:val="22"/>
          <w:szCs w:val="22"/>
          <w:lang w:eastAsia="en-US"/>
        </w:rPr>
        <w:t xml:space="preserve">their impact on </w:t>
      </w:r>
      <w:r w:rsidR="008F2E02">
        <w:rPr>
          <w:rFonts w:cs="Batang"/>
          <w:sz w:val="22"/>
          <w:szCs w:val="22"/>
          <w:lang w:eastAsia="en-US"/>
        </w:rPr>
        <w:t>different channel access mechanisms for unlicensed access</w:t>
      </w:r>
      <w:r w:rsidR="00AC46E5">
        <w:rPr>
          <w:rFonts w:cs="Batang"/>
          <w:sz w:val="22"/>
          <w:szCs w:val="22"/>
          <w:lang w:eastAsia="en-US"/>
        </w:rPr>
        <w:t xml:space="preserve"> We </w:t>
      </w:r>
      <w:r w:rsidR="00034C09">
        <w:rPr>
          <w:rFonts w:cs="Batang"/>
          <w:sz w:val="22"/>
          <w:szCs w:val="22"/>
          <w:lang w:eastAsia="en-US"/>
        </w:rPr>
        <w:t>then</w:t>
      </w:r>
      <w:r w:rsidR="00AC46E5">
        <w:rPr>
          <w:rFonts w:cs="Batang"/>
          <w:sz w:val="22"/>
          <w:szCs w:val="22"/>
          <w:lang w:eastAsia="en-US"/>
        </w:rPr>
        <w:t xml:space="preserve"> discuss </w:t>
      </w:r>
      <w:r w:rsidR="00034C09">
        <w:rPr>
          <w:rFonts w:cs="Batang"/>
          <w:sz w:val="22"/>
          <w:szCs w:val="22"/>
          <w:lang w:eastAsia="en-US"/>
        </w:rPr>
        <w:t xml:space="preserve">existing </w:t>
      </w:r>
      <w:r w:rsidR="00AC46E5">
        <w:rPr>
          <w:rFonts w:cs="Batang"/>
          <w:sz w:val="22"/>
          <w:szCs w:val="22"/>
          <w:lang w:eastAsia="en-US"/>
        </w:rPr>
        <w:t xml:space="preserve">channel access mechanisms </w:t>
      </w:r>
      <w:r w:rsidR="00034C09">
        <w:rPr>
          <w:rFonts w:cs="Batang"/>
          <w:sz w:val="22"/>
          <w:szCs w:val="22"/>
          <w:lang w:eastAsia="en-US"/>
        </w:rPr>
        <w:t>and propose modifications to enable them function well for unlicensed access above 52.6 GHz</w:t>
      </w:r>
      <w:r w:rsidR="00AC46E5">
        <w:rPr>
          <w:rFonts w:cs="Batang"/>
          <w:sz w:val="22"/>
          <w:szCs w:val="22"/>
          <w:lang w:eastAsia="en-US"/>
        </w:rPr>
        <w:t xml:space="preserve">. </w:t>
      </w:r>
    </w:p>
    <w:p w14:paraId="65A3CB43" w14:textId="1C60A1D3" w:rsidR="005E4239" w:rsidRDefault="00007C75" w:rsidP="005E4239">
      <w:pPr>
        <w:pStyle w:val="Heading1"/>
      </w:pPr>
      <w:r>
        <w:t xml:space="preserve">Channel </w:t>
      </w:r>
      <w:r w:rsidR="00AC46E5">
        <w:t xml:space="preserve">Access </w:t>
      </w:r>
      <w:r>
        <w:t xml:space="preserve">and Regulation </w:t>
      </w:r>
    </w:p>
    <w:p w14:paraId="769E85FE" w14:textId="31FA3A4D" w:rsidR="00A20DBA" w:rsidRDefault="003C3565" w:rsidP="00D32078">
      <w:pPr>
        <w:jc w:val="both"/>
        <w:rPr>
          <w:rFonts w:cs="Batang"/>
          <w:sz w:val="22"/>
          <w:szCs w:val="22"/>
          <w:lang w:val="en-GB" w:eastAsia="en-US"/>
        </w:rPr>
      </w:pPr>
      <w:r>
        <w:rPr>
          <w:rFonts w:cs="Batang"/>
          <w:sz w:val="22"/>
          <w:szCs w:val="22"/>
          <w:lang w:val="en-GB" w:eastAsia="en-US"/>
        </w:rPr>
        <w:t>In RAN1 #102-e, the following agreement was made</w:t>
      </w:r>
      <w:r w:rsidR="00644D03">
        <w:rPr>
          <w:rFonts w:cs="Batang"/>
          <w:sz w:val="22"/>
          <w:szCs w:val="22"/>
          <w:lang w:val="en-GB" w:eastAsia="en-US"/>
        </w:rPr>
        <w:t xml:space="preserve"> </w:t>
      </w:r>
      <w:r w:rsidR="00644D03">
        <w:rPr>
          <w:rFonts w:cs="Batang"/>
          <w:sz w:val="22"/>
          <w:szCs w:val="22"/>
          <w:lang w:val="en-GB" w:eastAsia="en-US"/>
        </w:rPr>
        <w:fldChar w:fldCharType="begin"/>
      </w:r>
      <w:r w:rsidR="00644D03">
        <w:rPr>
          <w:rFonts w:cs="Batang"/>
          <w:sz w:val="22"/>
          <w:szCs w:val="22"/>
          <w:lang w:val="en-GB" w:eastAsia="en-US"/>
        </w:rPr>
        <w:instrText xml:space="preserve"> REF _Ref53737700 \r \h </w:instrText>
      </w:r>
      <w:r w:rsidR="00644D03">
        <w:rPr>
          <w:rFonts w:cs="Batang"/>
          <w:sz w:val="22"/>
          <w:szCs w:val="22"/>
          <w:lang w:val="en-GB" w:eastAsia="en-US"/>
        </w:rPr>
      </w:r>
      <w:r w:rsidR="00644D03">
        <w:rPr>
          <w:rFonts w:cs="Batang"/>
          <w:sz w:val="22"/>
          <w:szCs w:val="22"/>
          <w:lang w:val="en-GB" w:eastAsia="en-US"/>
        </w:rPr>
        <w:fldChar w:fldCharType="separate"/>
      </w:r>
      <w:r w:rsidR="006B3305">
        <w:rPr>
          <w:rFonts w:cs="Batang"/>
          <w:sz w:val="22"/>
          <w:szCs w:val="22"/>
          <w:lang w:val="en-GB" w:eastAsia="en-US"/>
        </w:rPr>
        <w:t>[3]</w:t>
      </w:r>
      <w:r w:rsidR="00644D03">
        <w:rPr>
          <w:rFonts w:cs="Batang"/>
          <w:sz w:val="22"/>
          <w:szCs w:val="22"/>
          <w:lang w:val="en-GB" w:eastAsia="en-US"/>
        </w:rPr>
        <w:fldChar w:fldCharType="end"/>
      </w:r>
      <w:r>
        <w:rPr>
          <w:rFonts w:cs="Batang"/>
          <w:sz w:val="22"/>
          <w:szCs w:val="22"/>
          <w:lang w:val="en-GB" w:eastAsia="en-US"/>
        </w:rPr>
        <w:t xml:space="preserve">: </w:t>
      </w:r>
    </w:p>
    <w:p w14:paraId="5D79B2BE" w14:textId="77777777" w:rsidR="00A20DBA" w:rsidRDefault="00A20DBA" w:rsidP="00D32078">
      <w:pPr>
        <w:jc w:val="both"/>
        <w:rPr>
          <w:rFonts w:cs="Batang"/>
          <w:sz w:val="22"/>
          <w:szCs w:val="22"/>
          <w:lang w:val="en-GB" w:eastAsia="en-US"/>
        </w:rPr>
      </w:pPr>
    </w:p>
    <w:tbl>
      <w:tblPr>
        <w:tblStyle w:val="TableGrid"/>
        <w:tblW w:w="0" w:type="auto"/>
        <w:tblLook w:val="04A0" w:firstRow="1" w:lastRow="0" w:firstColumn="1" w:lastColumn="0" w:noHBand="0" w:noVBand="1"/>
      </w:tblPr>
      <w:tblGrid>
        <w:gridCol w:w="9350"/>
      </w:tblGrid>
      <w:tr w:rsidR="00000CE1" w14:paraId="20D151CE" w14:textId="77777777" w:rsidTr="00000CE1">
        <w:tc>
          <w:tcPr>
            <w:tcW w:w="9350" w:type="dxa"/>
          </w:tcPr>
          <w:p w14:paraId="69C17831" w14:textId="6AD0FAE9" w:rsidR="00000CE1" w:rsidRPr="00000CE1" w:rsidRDefault="00000CE1" w:rsidP="00000CE1">
            <w:pPr>
              <w:jc w:val="both"/>
              <w:rPr>
                <w:rFonts w:cs="Batang"/>
                <w:sz w:val="22"/>
                <w:szCs w:val="22"/>
                <w:lang w:eastAsia="en-US"/>
              </w:rPr>
            </w:pPr>
            <w:r w:rsidRPr="00000CE1">
              <w:rPr>
                <w:rFonts w:cs="Batang"/>
                <w:sz w:val="22"/>
                <w:szCs w:val="22"/>
                <w:highlight w:val="green"/>
                <w:lang w:eastAsia="en-US"/>
              </w:rPr>
              <w:t>Agreement</w:t>
            </w:r>
          </w:p>
          <w:p w14:paraId="63519EE3" w14:textId="25AFF11C" w:rsidR="00000CE1" w:rsidRPr="00C25F86" w:rsidRDefault="00000CE1" w:rsidP="00790F07">
            <w:pPr>
              <w:pStyle w:val="ListParagraph"/>
              <w:numPr>
                <w:ilvl w:val="0"/>
                <w:numId w:val="3"/>
              </w:numPr>
              <w:ind w:leftChars="0"/>
              <w:jc w:val="both"/>
              <w:rPr>
                <w:rFonts w:cs="Batang"/>
                <w:sz w:val="22"/>
                <w:szCs w:val="22"/>
                <w:lang w:eastAsia="en-US"/>
              </w:rPr>
            </w:pPr>
            <w:r w:rsidRPr="00C25F86">
              <w:rPr>
                <w:rFonts w:cs="Batang"/>
                <w:sz w:val="22"/>
                <w:szCs w:val="22"/>
                <w:lang w:eastAsia="en-US"/>
              </w:rPr>
              <w:t>For gNB/UE to initiate a channel occupancy, both channel access with LBT mechanism(s) and a channel access mechanism without LBT are supported</w:t>
            </w:r>
          </w:p>
          <w:p w14:paraId="4D4965DF" w14:textId="77777777" w:rsidR="00000CE1" w:rsidRPr="00C25F86" w:rsidRDefault="00000CE1" w:rsidP="00790F07">
            <w:pPr>
              <w:pStyle w:val="ListParagraph"/>
              <w:numPr>
                <w:ilvl w:val="0"/>
                <w:numId w:val="3"/>
              </w:numPr>
              <w:ind w:leftChars="0"/>
              <w:jc w:val="both"/>
              <w:rPr>
                <w:rFonts w:cs="Batang"/>
                <w:sz w:val="22"/>
                <w:szCs w:val="22"/>
                <w:lang w:eastAsia="en-US"/>
              </w:rPr>
            </w:pPr>
            <w:r w:rsidRPr="00C25F86">
              <w:rPr>
                <w:rFonts w:cs="Batang"/>
                <w:sz w:val="22"/>
                <w:szCs w:val="22"/>
                <w:lang w:eastAsia="en-US"/>
              </w:rPr>
              <w:t>FFS: LBT mechanisms such as Omni-directional LBT, directional LBT and receiver assisted LBT type of schemes when channel access with LBT is used. (comment: basic and advanced LBT schemes)</w:t>
            </w:r>
          </w:p>
          <w:p w14:paraId="13D5FC13" w14:textId="77777777" w:rsidR="00000CE1" w:rsidRPr="00C25F86" w:rsidRDefault="00000CE1" w:rsidP="00790F07">
            <w:pPr>
              <w:pStyle w:val="ListParagraph"/>
              <w:numPr>
                <w:ilvl w:val="0"/>
                <w:numId w:val="3"/>
              </w:numPr>
              <w:ind w:leftChars="0"/>
              <w:jc w:val="both"/>
              <w:rPr>
                <w:rFonts w:cs="Batang"/>
                <w:sz w:val="22"/>
                <w:szCs w:val="22"/>
                <w:lang w:eastAsia="en-US"/>
              </w:rPr>
            </w:pPr>
            <w:r w:rsidRPr="00C25F86">
              <w:rPr>
                <w:rFonts w:cs="Batang"/>
                <w:sz w:val="22"/>
                <w:szCs w:val="22"/>
                <w:lang w:eastAsia="en-US"/>
              </w:rPr>
              <w:t>FFS: If operation restrictions for channel access without LBT are needed, e.g. compliance with regulations, and/or in presence of ATPC, DFS, long term sensing, or other interference mitigation mechanisms</w:t>
            </w:r>
          </w:p>
          <w:p w14:paraId="13341323" w14:textId="77777777" w:rsidR="00000CE1" w:rsidRPr="005B01C4" w:rsidRDefault="00000CE1" w:rsidP="00790F07">
            <w:pPr>
              <w:pStyle w:val="ListParagraph"/>
              <w:numPr>
                <w:ilvl w:val="0"/>
                <w:numId w:val="3"/>
              </w:numPr>
              <w:ind w:leftChars="0"/>
              <w:jc w:val="both"/>
              <w:rPr>
                <w:rFonts w:cs="Batang"/>
                <w:sz w:val="22"/>
                <w:szCs w:val="22"/>
                <w:lang w:eastAsia="en-US"/>
              </w:rPr>
            </w:pPr>
            <w:r w:rsidRPr="00C25F86">
              <w:rPr>
                <w:rFonts w:cs="Batang"/>
                <w:sz w:val="22"/>
                <w:szCs w:val="22"/>
                <w:lang w:eastAsia="en-US"/>
              </w:rPr>
              <w:t>FFS: The mechanism and condition(s) to switch between channel access with LBT and channel access without LBT (if local regulation allows)</w:t>
            </w:r>
          </w:p>
          <w:p w14:paraId="367E2800" w14:textId="77777777" w:rsidR="00000CE1" w:rsidRDefault="00000CE1" w:rsidP="00D32078">
            <w:pPr>
              <w:jc w:val="both"/>
              <w:rPr>
                <w:rFonts w:cs="Batang"/>
                <w:sz w:val="22"/>
                <w:szCs w:val="22"/>
                <w:lang w:val="en-GB" w:eastAsia="en-US"/>
              </w:rPr>
            </w:pPr>
          </w:p>
        </w:tc>
      </w:tr>
    </w:tbl>
    <w:p w14:paraId="2602FF94" w14:textId="77777777" w:rsidR="00A20DBA" w:rsidRDefault="00A20DBA" w:rsidP="00D32078">
      <w:pPr>
        <w:jc w:val="both"/>
        <w:rPr>
          <w:rFonts w:cs="Batang"/>
          <w:sz w:val="22"/>
          <w:szCs w:val="22"/>
          <w:lang w:val="en-GB" w:eastAsia="en-US"/>
        </w:rPr>
      </w:pPr>
    </w:p>
    <w:p w14:paraId="6AF4B5D3" w14:textId="6B21229E" w:rsidR="003C3565" w:rsidRDefault="00000CE1" w:rsidP="0080600C">
      <w:pPr>
        <w:jc w:val="both"/>
        <w:rPr>
          <w:rFonts w:cs="Batang"/>
          <w:sz w:val="22"/>
          <w:szCs w:val="22"/>
          <w:lang w:val="en-GB" w:eastAsia="en-US"/>
        </w:rPr>
      </w:pPr>
      <w:r>
        <w:rPr>
          <w:rFonts w:cs="Batang"/>
          <w:sz w:val="22"/>
          <w:szCs w:val="22"/>
          <w:lang w:val="en-GB" w:eastAsia="en-US"/>
        </w:rPr>
        <w:t xml:space="preserve">As has been agreed, </w:t>
      </w:r>
      <w:r w:rsidRPr="00C25F86">
        <w:rPr>
          <w:rFonts w:cs="Batang"/>
          <w:sz w:val="22"/>
          <w:szCs w:val="22"/>
          <w:lang w:eastAsia="en-US"/>
        </w:rPr>
        <w:t>both channel access with LBT mechanism(s) and a channel access mechanism without LBT are supported</w:t>
      </w:r>
      <w:r>
        <w:rPr>
          <w:rFonts w:cs="Batang"/>
          <w:sz w:val="22"/>
          <w:szCs w:val="22"/>
          <w:lang w:val="en-GB" w:eastAsia="en-US"/>
        </w:rPr>
        <w:t>. As such</w:t>
      </w:r>
      <w:r w:rsidR="0080600C">
        <w:rPr>
          <w:rFonts w:cs="Batang"/>
          <w:sz w:val="22"/>
          <w:szCs w:val="22"/>
          <w:lang w:val="en-GB" w:eastAsia="en-US"/>
        </w:rPr>
        <w:t xml:space="preserve">, </w:t>
      </w:r>
      <w:r w:rsidR="0080600C" w:rsidRPr="00DB340F">
        <w:rPr>
          <w:rFonts w:cs="Batang"/>
          <w:sz w:val="22"/>
          <w:szCs w:val="22"/>
          <w:lang w:val="en-GB" w:eastAsia="en-US"/>
        </w:rPr>
        <w:t xml:space="preserve"> </w:t>
      </w:r>
      <w:r w:rsidR="002A5C7D">
        <w:rPr>
          <w:rFonts w:cs="Batang"/>
          <w:sz w:val="22"/>
          <w:szCs w:val="22"/>
          <w:lang w:val="en-GB" w:eastAsia="en-US"/>
        </w:rPr>
        <w:t>t</w:t>
      </w:r>
      <w:r w:rsidRPr="00000CE1">
        <w:rPr>
          <w:rFonts w:cs="Batang"/>
          <w:sz w:val="22"/>
          <w:szCs w:val="22"/>
          <w:lang w:val="en-GB" w:eastAsia="en-US"/>
        </w:rPr>
        <w:t>he mechanism and condition(s) to switch between channel access with LBT and channel access without LBT (if local regulation allows)</w:t>
      </w:r>
      <w:r w:rsidR="002A5C7D">
        <w:rPr>
          <w:rFonts w:cs="Batang"/>
          <w:sz w:val="22"/>
          <w:szCs w:val="22"/>
          <w:lang w:val="en-GB" w:eastAsia="en-US"/>
        </w:rPr>
        <w:t xml:space="preserve"> needs to be decided</w:t>
      </w:r>
      <w:r w:rsidR="0080600C" w:rsidRPr="00DB340F">
        <w:rPr>
          <w:rFonts w:cs="Batang"/>
          <w:sz w:val="22"/>
          <w:szCs w:val="22"/>
          <w:lang w:val="en-GB" w:eastAsia="en-US"/>
        </w:rPr>
        <w:t xml:space="preserve">. </w:t>
      </w:r>
    </w:p>
    <w:p w14:paraId="45E5658C" w14:textId="77777777" w:rsidR="003C3565" w:rsidRDefault="003C3565" w:rsidP="0080600C">
      <w:pPr>
        <w:jc w:val="both"/>
        <w:rPr>
          <w:rFonts w:cs="Batang"/>
          <w:sz w:val="22"/>
          <w:szCs w:val="22"/>
          <w:lang w:val="en-GB" w:eastAsia="en-US"/>
        </w:rPr>
      </w:pPr>
    </w:p>
    <w:p w14:paraId="6E5F2468" w14:textId="2D578730" w:rsidR="0080600C" w:rsidRDefault="003C3565" w:rsidP="0080600C">
      <w:pPr>
        <w:jc w:val="both"/>
        <w:rPr>
          <w:rFonts w:cs="Batang"/>
          <w:sz w:val="22"/>
          <w:szCs w:val="22"/>
          <w:lang w:val="en-GB" w:eastAsia="en-US"/>
        </w:rPr>
      </w:pPr>
      <w:r>
        <w:rPr>
          <w:rFonts w:cs="Batang"/>
          <w:sz w:val="22"/>
          <w:szCs w:val="22"/>
          <w:lang w:val="en-GB" w:eastAsia="en-US"/>
        </w:rPr>
        <w:t xml:space="preserve">In the </w:t>
      </w:r>
      <w:r w:rsidRPr="00D351ED">
        <w:rPr>
          <w:rFonts w:cs="Batang"/>
          <w:b/>
          <w:bCs/>
          <w:sz w:val="22"/>
          <w:szCs w:val="22"/>
          <w:lang w:val="en-GB" w:eastAsia="en-US"/>
        </w:rPr>
        <w:t>case that local regulation allows there to be no LBT</w:t>
      </w:r>
      <w:r>
        <w:rPr>
          <w:rFonts w:cs="Batang"/>
          <w:sz w:val="22"/>
          <w:szCs w:val="22"/>
          <w:lang w:val="en-GB" w:eastAsia="en-US"/>
        </w:rPr>
        <w:t xml:space="preserve">, the gNB may configure  one or more UEs for channel access </w:t>
      </w:r>
      <w:r w:rsidR="00000CE1">
        <w:rPr>
          <w:rFonts w:cs="Batang"/>
          <w:sz w:val="22"/>
          <w:szCs w:val="22"/>
          <w:lang w:val="en-GB" w:eastAsia="en-US"/>
        </w:rPr>
        <w:t>with LBT t</w:t>
      </w:r>
      <w:r>
        <w:rPr>
          <w:rFonts w:cs="Batang"/>
          <w:sz w:val="22"/>
          <w:szCs w:val="22"/>
          <w:lang w:val="en-GB" w:eastAsia="en-US"/>
        </w:rPr>
        <w:t>o improve the system performance</w:t>
      </w:r>
      <w:r w:rsidR="002A5C7D">
        <w:rPr>
          <w:rFonts w:cs="Batang"/>
          <w:sz w:val="22"/>
          <w:szCs w:val="22"/>
          <w:lang w:val="en-GB" w:eastAsia="en-US"/>
        </w:rPr>
        <w:t xml:space="preserve"> allowing a mix of both channel access types in the network</w:t>
      </w:r>
      <w:r>
        <w:rPr>
          <w:rFonts w:cs="Batang"/>
          <w:sz w:val="22"/>
          <w:szCs w:val="22"/>
          <w:lang w:val="en-GB" w:eastAsia="en-US"/>
        </w:rPr>
        <w:t xml:space="preserve">. </w:t>
      </w:r>
      <w:r w:rsidR="0080600C" w:rsidRPr="00DB340F">
        <w:rPr>
          <w:rFonts w:cs="Batang"/>
          <w:sz w:val="22"/>
          <w:szCs w:val="22"/>
          <w:lang w:val="en-GB" w:eastAsia="en-US"/>
        </w:rPr>
        <w:t xml:space="preserve">The channel access type </w:t>
      </w:r>
      <w:r w:rsidR="002A5C7D">
        <w:rPr>
          <w:rFonts w:cs="Batang"/>
          <w:sz w:val="22"/>
          <w:szCs w:val="22"/>
          <w:lang w:val="en-GB" w:eastAsia="en-US"/>
        </w:rPr>
        <w:t>can</w:t>
      </w:r>
      <w:r w:rsidR="0080600C" w:rsidRPr="00DB340F">
        <w:rPr>
          <w:rFonts w:cs="Batang"/>
          <w:sz w:val="22"/>
          <w:szCs w:val="22"/>
          <w:lang w:val="en-GB" w:eastAsia="en-US"/>
        </w:rPr>
        <w:t xml:space="preserve"> be semi-statically </w:t>
      </w:r>
      <w:r w:rsidR="002A5C7D">
        <w:rPr>
          <w:rFonts w:cs="Batang"/>
          <w:sz w:val="22"/>
          <w:szCs w:val="22"/>
          <w:lang w:val="en-GB" w:eastAsia="en-US"/>
        </w:rPr>
        <w:t xml:space="preserve">or dynamically </w:t>
      </w:r>
      <w:r w:rsidR="0080600C" w:rsidRPr="00DB340F">
        <w:rPr>
          <w:rFonts w:cs="Batang"/>
          <w:sz w:val="22"/>
          <w:szCs w:val="22"/>
          <w:lang w:val="en-GB" w:eastAsia="en-US"/>
        </w:rPr>
        <w:t>configure</w:t>
      </w:r>
      <w:r w:rsidR="0080600C">
        <w:rPr>
          <w:rFonts w:cs="Batang"/>
          <w:sz w:val="22"/>
          <w:szCs w:val="22"/>
          <w:lang w:val="en-GB" w:eastAsia="en-US"/>
        </w:rPr>
        <w:t>d</w:t>
      </w:r>
      <w:r w:rsidR="0080600C" w:rsidRPr="00DB340F">
        <w:rPr>
          <w:rFonts w:cs="Batang"/>
          <w:sz w:val="22"/>
          <w:szCs w:val="22"/>
          <w:lang w:val="en-GB" w:eastAsia="en-US"/>
        </w:rPr>
        <w:t xml:space="preserve"> by the gNB, in some cases  with assistance from the UE. </w:t>
      </w:r>
      <w:r w:rsidR="002A5C7D">
        <w:rPr>
          <w:rFonts w:cs="Batang"/>
          <w:sz w:val="22"/>
          <w:szCs w:val="22"/>
          <w:lang w:val="en-GB" w:eastAsia="en-US"/>
        </w:rPr>
        <w:t xml:space="preserve">The LBT </w:t>
      </w:r>
      <w:r w:rsidR="00ED23BE">
        <w:rPr>
          <w:rFonts w:cs="Batang"/>
          <w:sz w:val="22"/>
          <w:szCs w:val="22"/>
          <w:lang w:val="en-GB" w:eastAsia="en-US"/>
        </w:rPr>
        <w:t>type</w:t>
      </w:r>
      <w:r w:rsidR="002A5C7D">
        <w:rPr>
          <w:rFonts w:cs="Batang"/>
          <w:sz w:val="22"/>
          <w:szCs w:val="22"/>
          <w:lang w:val="en-GB" w:eastAsia="en-US"/>
        </w:rPr>
        <w:t xml:space="preserve"> selection or UE assistance information may be based on short</w:t>
      </w:r>
      <w:r w:rsidR="00644D03">
        <w:rPr>
          <w:rFonts w:cs="Batang"/>
          <w:sz w:val="22"/>
          <w:szCs w:val="22"/>
          <w:lang w:val="en-GB" w:eastAsia="en-US"/>
        </w:rPr>
        <w:t>-</w:t>
      </w:r>
      <w:r w:rsidR="002A5C7D">
        <w:rPr>
          <w:rFonts w:cs="Batang"/>
          <w:sz w:val="22"/>
          <w:szCs w:val="22"/>
          <w:lang w:val="en-GB" w:eastAsia="en-US"/>
        </w:rPr>
        <w:t xml:space="preserve">term or </w:t>
      </w:r>
      <w:r w:rsidR="00644D03">
        <w:rPr>
          <w:rFonts w:cs="Batang"/>
          <w:sz w:val="22"/>
          <w:szCs w:val="22"/>
          <w:lang w:val="en-GB" w:eastAsia="en-US"/>
        </w:rPr>
        <w:t>long-term</w:t>
      </w:r>
      <w:r w:rsidR="002A5C7D">
        <w:rPr>
          <w:rFonts w:cs="Batang"/>
          <w:sz w:val="22"/>
          <w:szCs w:val="22"/>
          <w:lang w:val="en-GB" w:eastAsia="en-US"/>
        </w:rPr>
        <w:t xml:space="preserve"> measurements</w:t>
      </w:r>
      <w:r w:rsidR="00644D03">
        <w:rPr>
          <w:rFonts w:cs="Batang"/>
          <w:sz w:val="22"/>
          <w:szCs w:val="22"/>
          <w:lang w:val="en-GB" w:eastAsia="en-US"/>
        </w:rPr>
        <w:t xml:space="preserve"> of the </w:t>
      </w:r>
      <w:r w:rsidR="00644D03" w:rsidRPr="00644D03">
        <w:rPr>
          <w:rFonts w:cs="Batang"/>
          <w:sz w:val="22"/>
          <w:szCs w:val="22"/>
          <w:lang w:val="en-GB" w:eastAsia="en-US"/>
        </w:rPr>
        <w:t>interference environment the UE(s) experience</w:t>
      </w:r>
      <w:r w:rsidR="002A5C7D">
        <w:rPr>
          <w:rFonts w:cs="Batang"/>
          <w:sz w:val="22"/>
          <w:szCs w:val="22"/>
          <w:lang w:val="en-GB" w:eastAsia="en-US"/>
        </w:rPr>
        <w:t xml:space="preserve">. </w:t>
      </w:r>
      <w:r w:rsidR="0080600C" w:rsidRPr="00DB340F">
        <w:rPr>
          <w:rFonts w:cs="Batang"/>
          <w:sz w:val="22"/>
          <w:szCs w:val="22"/>
          <w:lang w:val="en-GB" w:eastAsia="en-US"/>
        </w:rPr>
        <w:lastRenderedPageBreak/>
        <w:t xml:space="preserve">Alternatively, the UE </w:t>
      </w:r>
      <w:r w:rsidR="002A5C7D">
        <w:rPr>
          <w:rFonts w:cs="Batang"/>
          <w:sz w:val="22"/>
          <w:szCs w:val="22"/>
          <w:lang w:val="en-GB" w:eastAsia="en-US"/>
        </w:rPr>
        <w:t>should</w:t>
      </w:r>
      <w:r w:rsidR="0080600C" w:rsidRPr="00DB340F">
        <w:rPr>
          <w:rFonts w:cs="Batang"/>
          <w:sz w:val="22"/>
          <w:szCs w:val="22"/>
          <w:lang w:val="en-GB" w:eastAsia="en-US"/>
        </w:rPr>
        <w:t xml:space="preserve"> be able to autonomously switch between LBT access and non-LBT access</w:t>
      </w:r>
      <w:r w:rsidR="002A5C7D">
        <w:rPr>
          <w:rFonts w:cs="Batang"/>
          <w:sz w:val="22"/>
          <w:szCs w:val="22"/>
          <w:lang w:val="en-GB" w:eastAsia="en-US"/>
        </w:rPr>
        <w:t xml:space="preserve"> types</w:t>
      </w:r>
      <w:r w:rsidR="0080600C" w:rsidRPr="00DB340F">
        <w:rPr>
          <w:rFonts w:cs="Batang"/>
          <w:sz w:val="22"/>
          <w:szCs w:val="22"/>
          <w:lang w:val="en-GB" w:eastAsia="en-US"/>
        </w:rPr>
        <w:t xml:space="preserve">. </w:t>
      </w:r>
      <w:r w:rsidR="00ED23BE">
        <w:rPr>
          <w:rFonts w:cs="Batang"/>
          <w:sz w:val="22"/>
          <w:szCs w:val="22"/>
          <w:lang w:val="en-GB" w:eastAsia="en-US"/>
        </w:rPr>
        <w:t xml:space="preserve">Enabling a mix of channel access types </w:t>
      </w:r>
      <w:r w:rsidR="0080600C" w:rsidRPr="00DB340F">
        <w:rPr>
          <w:rFonts w:cs="Batang"/>
          <w:sz w:val="22"/>
          <w:szCs w:val="22"/>
          <w:lang w:val="en-GB" w:eastAsia="en-US"/>
        </w:rPr>
        <w:t xml:space="preserve"> may require the definition of measurement signal</w:t>
      </w:r>
      <w:r w:rsidR="0080600C">
        <w:rPr>
          <w:rFonts w:cs="Batang"/>
          <w:sz w:val="22"/>
          <w:szCs w:val="22"/>
          <w:lang w:val="en-GB" w:eastAsia="en-US"/>
        </w:rPr>
        <w:t xml:space="preserve">s, </w:t>
      </w:r>
      <w:r w:rsidR="0080600C" w:rsidRPr="00DB340F">
        <w:rPr>
          <w:rFonts w:cs="Batang"/>
          <w:sz w:val="22"/>
          <w:szCs w:val="22"/>
          <w:lang w:val="en-GB" w:eastAsia="en-US"/>
        </w:rPr>
        <w:t xml:space="preserve">common metrics </w:t>
      </w:r>
      <w:r w:rsidR="0080600C">
        <w:rPr>
          <w:rFonts w:cs="Batang"/>
          <w:sz w:val="22"/>
          <w:szCs w:val="22"/>
          <w:lang w:val="en-GB" w:eastAsia="en-US"/>
        </w:rPr>
        <w:t xml:space="preserve"> and a UE procedure</w:t>
      </w:r>
      <w:r w:rsidR="002A5C7D">
        <w:rPr>
          <w:rFonts w:cs="Batang"/>
          <w:sz w:val="22"/>
          <w:szCs w:val="22"/>
          <w:lang w:val="en-GB" w:eastAsia="en-US"/>
        </w:rPr>
        <w:t xml:space="preserve"> in RAN1</w:t>
      </w:r>
      <w:r w:rsidR="0080600C">
        <w:rPr>
          <w:rFonts w:cs="Batang"/>
          <w:sz w:val="22"/>
          <w:szCs w:val="22"/>
          <w:lang w:val="en-GB" w:eastAsia="en-US"/>
        </w:rPr>
        <w:t xml:space="preserve">. </w:t>
      </w:r>
      <w:r w:rsidR="0080600C" w:rsidRPr="00DB340F">
        <w:rPr>
          <w:rFonts w:cs="Batang"/>
          <w:sz w:val="22"/>
          <w:szCs w:val="22"/>
          <w:lang w:val="en-GB" w:eastAsia="en-US"/>
        </w:rPr>
        <w:t xml:space="preserve"> </w:t>
      </w:r>
    </w:p>
    <w:p w14:paraId="0416AD51" w14:textId="75039D9E" w:rsidR="00A20DBA" w:rsidRDefault="00A20DBA" w:rsidP="0080600C">
      <w:pPr>
        <w:jc w:val="both"/>
        <w:rPr>
          <w:rFonts w:cs="Batang"/>
          <w:sz w:val="22"/>
          <w:szCs w:val="22"/>
          <w:lang w:val="en-GB" w:eastAsia="en-US"/>
        </w:rPr>
      </w:pPr>
    </w:p>
    <w:p w14:paraId="3F214EFA" w14:textId="04F57CDA" w:rsidR="003C3565" w:rsidRDefault="003C3565" w:rsidP="0080600C">
      <w:pPr>
        <w:jc w:val="both"/>
        <w:rPr>
          <w:rFonts w:cs="Batang"/>
          <w:sz w:val="22"/>
          <w:szCs w:val="22"/>
          <w:lang w:val="en-GB" w:eastAsia="en-US"/>
        </w:rPr>
      </w:pPr>
      <w:r>
        <w:rPr>
          <w:rFonts w:cs="Batang"/>
          <w:sz w:val="22"/>
          <w:szCs w:val="22"/>
          <w:lang w:val="en-GB" w:eastAsia="en-US"/>
        </w:rPr>
        <w:t xml:space="preserve">In the </w:t>
      </w:r>
      <w:r w:rsidRPr="00D351ED">
        <w:rPr>
          <w:rFonts w:cs="Batang"/>
          <w:b/>
          <w:bCs/>
          <w:sz w:val="22"/>
          <w:szCs w:val="22"/>
          <w:lang w:val="en-GB" w:eastAsia="en-US"/>
        </w:rPr>
        <w:t xml:space="preserve">case that LBT </w:t>
      </w:r>
      <w:r w:rsidR="002A5C7D" w:rsidRPr="00D351ED">
        <w:rPr>
          <w:rFonts w:cs="Batang"/>
          <w:b/>
          <w:bCs/>
          <w:sz w:val="22"/>
          <w:szCs w:val="22"/>
          <w:lang w:val="en-GB" w:eastAsia="en-US"/>
        </w:rPr>
        <w:t xml:space="preserve">channel access </w:t>
      </w:r>
      <w:r w:rsidRPr="00D351ED">
        <w:rPr>
          <w:rFonts w:cs="Batang"/>
          <w:b/>
          <w:bCs/>
          <w:sz w:val="22"/>
          <w:szCs w:val="22"/>
          <w:lang w:val="en-GB" w:eastAsia="en-US"/>
        </w:rPr>
        <w:t>is mandated</w:t>
      </w:r>
      <w:r>
        <w:rPr>
          <w:rFonts w:cs="Batang"/>
          <w:sz w:val="22"/>
          <w:szCs w:val="22"/>
          <w:lang w:val="en-GB" w:eastAsia="en-US"/>
        </w:rPr>
        <w:t xml:space="preserve">, the LBT procedure is governed by </w:t>
      </w:r>
      <w:r w:rsidRPr="003C3565">
        <w:rPr>
          <w:rFonts w:cs="Batang"/>
          <w:sz w:val="22"/>
          <w:szCs w:val="22"/>
          <w:lang w:eastAsia="en-US"/>
        </w:rPr>
        <w:t>ETSI EN 302.567 v2.1.20</w:t>
      </w:r>
      <w:r w:rsidR="002A5C7D">
        <w:rPr>
          <w:rFonts w:cs="Batang"/>
          <w:sz w:val="22"/>
          <w:szCs w:val="22"/>
          <w:lang w:eastAsia="en-US"/>
        </w:rPr>
        <w:t xml:space="preserve"> </w:t>
      </w:r>
      <w:r w:rsidR="002A5C7D">
        <w:rPr>
          <w:rFonts w:cs="Batang"/>
          <w:sz w:val="22"/>
          <w:szCs w:val="22"/>
          <w:lang w:eastAsia="en-US"/>
        </w:rPr>
        <w:fldChar w:fldCharType="begin"/>
      </w:r>
      <w:r w:rsidR="002A5C7D">
        <w:rPr>
          <w:rFonts w:cs="Batang"/>
          <w:sz w:val="22"/>
          <w:szCs w:val="22"/>
          <w:lang w:eastAsia="en-US"/>
        </w:rPr>
        <w:instrText xml:space="preserve"> REF _Ref40413541 \r \h </w:instrText>
      </w:r>
      <w:r w:rsidR="002A5C7D">
        <w:rPr>
          <w:rFonts w:cs="Batang"/>
          <w:sz w:val="22"/>
          <w:szCs w:val="22"/>
          <w:lang w:eastAsia="en-US"/>
        </w:rPr>
      </w:r>
      <w:r w:rsidR="002A5C7D">
        <w:rPr>
          <w:rFonts w:cs="Batang"/>
          <w:sz w:val="22"/>
          <w:szCs w:val="22"/>
          <w:lang w:eastAsia="en-US"/>
        </w:rPr>
        <w:fldChar w:fldCharType="separate"/>
      </w:r>
      <w:r w:rsidR="006B3305">
        <w:rPr>
          <w:rFonts w:cs="Batang"/>
          <w:sz w:val="22"/>
          <w:szCs w:val="22"/>
          <w:lang w:eastAsia="en-US"/>
        </w:rPr>
        <w:t>[7]</w:t>
      </w:r>
      <w:r w:rsidR="002A5C7D">
        <w:rPr>
          <w:rFonts w:cs="Batang"/>
          <w:sz w:val="22"/>
          <w:szCs w:val="22"/>
          <w:lang w:eastAsia="en-US"/>
        </w:rPr>
        <w:fldChar w:fldCharType="end"/>
      </w:r>
      <w:r>
        <w:rPr>
          <w:rFonts w:cs="Batang"/>
          <w:sz w:val="22"/>
          <w:szCs w:val="22"/>
          <w:lang w:eastAsia="en-US"/>
        </w:rPr>
        <w:t>. In Section 5.3.8, a test for the adaptivity in the medium access protocol is defined. In this rule, b</w:t>
      </w:r>
      <w:r w:rsidRPr="003C3565">
        <w:rPr>
          <w:rFonts w:cs="Batang"/>
          <w:sz w:val="22"/>
          <w:szCs w:val="22"/>
          <w:lang w:eastAsia="en-US"/>
        </w:rPr>
        <w:t xml:space="preserve">eamforming short control signaling is allowed up to 10% of </w:t>
      </w:r>
      <w:r w:rsidR="00ED23BE">
        <w:rPr>
          <w:rFonts w:cs="Batang"/>
          <w:sz w:val="22"/>
          <w:szCs w:val="22"/>
          <w:lang w:eastAsia="en-US"/>
        </w:rPr>
        <w:t xml:space="preserve">the </w:t>
      </w:r>
      <w:r w:rsidRPr="003C3565">
        <w:rPr>
          <w:rFonts w:cs="Batang"/>
          <w:sz w:val="22"/>
          <w:szCs w:val="22"/>
          <w:lang w:eastAsia="en-US"/>
        </w:rPr>
        <w:t>time</w:t>
      </w:r>
      <w:r w:rsidRPr="003C3565">
        <w:rPr>
          <w:rFonts w:cs="Batang"/>
          <w:sz w:val="22"/>
          <w:szCs w:val="22"/>
          <w:lang w:val="en-GB" w:eastAsia="en-US"/>
        </w:rPr>
        <w:t xml:space="preserve"> </w:t>
      </w:r>
      <w:r>
        <w:rPr>
          <w:rFonts w:cs="Batang"/>
          <w:sz w:val="22"/>
          <w:szCs w:val="22"/>
          <w:lang w:val="en-GB" w:eastAsia="en-US"/>
        </w:rPr>
        <w:t>within an observation period of 100 msecs.</w:t>
      </w:r>
    </w:p>
    <w:p w14:paraId="4F3A255B" w14:textId="77777777" w:rsidR="003C3565" w:rsidRDefault="003C3565" w:rsidP="0080600C">
      <w:pPr>
        <w:jc w:val="both"/>
        <w:rPr>
          <w:rFonts w:cs="Batang"/>
          <w:sz w:val="22"/>
          <w:szCs w:val="22"/>
          <w:lang w:val="en-GB" w:eastAsia="en-US"/>
        </w:rPr>
      </w:pPr>
    </w:p>
    <w:tbl>
      <w:tblPr>
        <w:tblStyle w:val="TableGrid"/>
        <w:tblW w:w="0" w:type="auto"/>
        <w:tblLook w:val="04A0" w:firstRow="1" w:lastRow="0" w:firstColumn="1" w:lastColumn="0" w:noHBand="0" w:noVBand="1"/>
      </w:tblPr>
      <w:tblGrid>
        <w:gridCol w:w="9350"/>
      </w:tblGrid>
      <w:tr w:rsidR="003C3565" w14:paraId="34782F1F" w14:textId="77777777" w:rsidTr="003C3565">
        <w:tc>
          <w:tcPr>
            <w:tcW w:w="9350" w:type="dxa"/>
          </w:tcPr>
          <w:p w14:paraId="41EE0D99" w14:textId="77777777" w:rsidR="003C3565" w:rsidRPr="003C3565" w:rsidRDefault="003C3565" w:rsidP="003C3565">
            <w:pPr>
              <w:jc w:val="both"/>
              <w:rPr>
                <w:rFonts w:cs="Batang"/>
                <w:sz w:val="22"/>
                <w:szCs w:val="22"/>
                <w:lang w:val="en-GB" w:eastAsia="en-US"/>
              </w:rPr>
            </w:pPr>
            <w:r w:rsidRPr="003C3565">
              <w:rPr>
                <w:rFonts w:cs="Batang"/>
                <w:sz w:val="22"/>
                <w:szCs w:val="22"/>
                <w:lang w:val="en-GB" w:eastAsia="en-US"/>
              </w:rPr>
              <w:t>b)</w:t>
            </w:r>
            <w:r w:rsidRPr="003C3565">
              <w:rPr>
                <w:rFonts w:cs="Batang"/>
                <w:sz w:val="22"/>
                <w:szCs w:val="22"/>
                <w:lang w:val="en-GB" w:eastAsia="en-US"/>
              </w:rPr>
              <w:tab/>
              <w:t>Apart from transmission of the frames for short control signalling (such as, for example, ACK/NACK signals, beacon frames, other time synchronization frames and frames for beamforming) no frame shall be initiated.</w:t>
            </w:r>
          </w:p>
          <w:p w14:paraId="74030F8B" w14:textId="1415E4FF" w:rsidR="003C3565" w:rsidRDefault="003C3565" w:rsidP="003C3565">
            <w:pPr>
              <w:jc w:val="both"/>
              <w:rPr>
                <w:rFonts w:cs="Batang"/>
                <w:sz w:val="22"/>
                <w:szCs w:val="22"/>
                <w:lang w:val="en-GB" w:eastAsia="en-US"/>
              </w:rPr>
            </w:pPr>
            <w:r w:rsidRPr="003C3565">
              <w:rPr>
                <w:rFonts w:cs="Batang"/>
                <w:sz w:val="22"/>
                <w:szCs w:val="22"/>
                <w:lang w:val="en-GB" w:eastAsia="en-US"/>
              </w:rPr>
              <w:t>c)</w:t>
            </w:r>
            <w:r w:rsidRPr="003C3565">
              <w:rPr>
                <w:rFonts w:cs="Batang"/>
                <w:sz w:val="22"/>
                <w:szCs w:val="22"/>
                <w:lang w:val="en-GB" w:eastAsia="en-US"/>
              </w:rPr>
              <w:tab/>
            </w:r>
            <w:r w:rsidRPr="00644D03">
              <w:rPr>
                <w:rFonts w:cs="Batang"/>
                <w:b/>
                <w:bCs/>
                <w:sz w:val="22"/>
                <w:szCs w:val="22"/>
                <w:lang w:val="en-GB" w:eastAsia="en-US"/>
              </w:rPr>
              <w:t>The time synchronization and beam forming frames transmissions shall be less than or equal to 10 % within an observation period of 100 ms</w:t>
            </w:r>
            <w:r w:rsidR="00192573">
              <w:rPr>
                <w:rFonts w:cs="Batang"/>
                <w:b/>
                <w:bCs/>
                <w:sz w:val="22"/>
                <w:szCs w:val="22"/>
                <w:lang w:val="en-GB" w:eastAsia="en-US"/>
              </w:rPr>
              <w:t>ecs</w:t>
            </w:r>
            <w:r w:rsidRPr="003C3565">
              <w:rPr>
                <w:rFonts w:cs="Batang"/>
                <w:sz w:val="22"/>
                <w:szCs w:val="22"/>
                <w:lang w:val="en-GB" w:eastAsia="en-US"/>
              </w:rPr>
              <w:t>.</w:t>
            </w:r>
          </w:p>
        </w:tc>
      </w:tr>
    </w:tbl>
    <w:p w14:paraId="22A3BA65" w14:textId="77777777" w:rsidR="003C3565" w:rsidRDefault="003C3565" w:rsidP="0080600C">
      <w:pPr>
        <w:jc w:val="both"/>
        <w:rPr>
          <w:rFonts w:cs="Batang"/>
          <w:sz w:val="22"/>
          <w:szCs w:val="22"/>
          <w:lang w:val="en-GB" w:eastAsia="en-US"/>
        </w:rPr>
      </w:pPr>
    </w:p>
    <w:p w14:paraId="707D07C5" w14:textId="09485649" w:rsidR="002B504B" w:rsidRDefault="003C3565" w:rsidP="002B504B">
      <w:pPr>
        <w:jc w:val="both"/>
        <w:rPr>
          <w:rFonts w:cs="Batang"/>
          <w:sz w:val="22"/>
          <w:szCs w:val="22"/>
          <w:lang w:eastAsia="en-US"/>
        </w:rPr>
      </w:pPr>
      <w:r>
        <w:rPr>
          <w:rFonts w:cs="Batang"/>
          <w:sz w:val="22"/>
          <w:szCs w:val="22"/>
          <w:lang w:val="en-GB" w:eastAsia="en-US"/>
        </w:rPr>
        <w:t>Based on this</w:t>
      </w:r>
      <w:r w:rsidR="00644D03">
        <w:rPr>
          <w:rFonts w:cs="Batang"/>
          <w:sz w:val="22"/>
          <w:szCs w:val="22"/>
          <w:lang w:val="en-GB" w:eastAsia="en-US"/>
        </w:rPr>
        <w:t xml:space="preserve"> rule</w:t>
      </w:r>
      <w:r w:rsidR="00ED23BE">
        <w:rPr>
          <w:rFonts w:cs="Batang"/>
          <w:sz w:val="22"/>
          <w:szCs w:val="22"/>
          <w:lang w:val="en-GB" w:eastAsia="en-US"/>
        </w:rPr>
        <w:t>,</w:t>
      </w:r>
      <w:r>
        <w:rPr>
          <w:rFonts w:cs="Batang"/>
          <w:sz w:val="22"/>
          <w:szCs w:val="22"/>
          <w:lang w:val="en-GB" w:eastAsia="en-US"/>
        </w:rPr>
        <w:t xml:space="preserve"> control </w:t>
      </w:r>
      <w:r w:rsidR="002B504B">
        <w:rPr>
          <w:rFonts w:cs="Batang"/>
          <w:sz w:val="22"/>
          <w:szCs w:val="22"/>
          <w:lang w:val="en-GB" w:eastAsia="en-US"/>
        </w:rPr>
        <w:t>signalling</w:t>
      </w:r>
      <w:r>
        <w:rPr>
          <w:rFonts w:cs="Batang"/>
          <w:sz w:val="22"/>
          <w:szCs w:val="22"/>
          <w:lang w:val="en-GB" w:eastAsia="en-US"/>
        </w:rPr>
        <w:t xml:space="preserve"> such as </w:t>
      </w:r>
      <w:r w:rsidR="00644D03">
        <w:rPr>
          <w:rFonts w:cs="Batang"/>
          <w:sz w:val="22"/>
          <w:szCs w:val="22"/>
          <w:lang w:eastAsia="en-US"/>
        </w:rPr>
        <w:t xml:space="preserve">the Discovery </w:t>
      </w:r>
      <w:r w:rsidR="002B504B" w:rsidRPr="002B504B">
        <w:rPr>
          <w:rFonts w:cs="Batang"/>
          <w:sz w:val="22"/>
          <w:szCs w:val="22"/>
          <w:lang w:eastAsia="en-US"/>
        </w:rPr>
        <w:t>R</w:t>
      </w:r>
      <w:r w:rsidR="00644D03">
        <w:rPr>
          <w:rFonts w:cs="Batang"/>
          <w:sz w:val="22"/>
          <w:szCs w:val="22"/>
          <w:lang w:eastAsia="en-US"/>
        </w:rPr>
        <w:t xml:space="preserve">eference </w:t>
      </w:r>
      <w:r w:rsidR="002B504B" w:rsidRPr="002B504B">
        <w:rPr>
          <w:rFonts w:cs="Batang"/>
          <w:sz w:val="22"/>
          <w:szCs w:val="22"/>
          <w:lang w:eastAsia="en-US"/>
        </w:rPr>
        <w:t>S</w:t>
      </w:r>
      <w:r w:rsidR="00644D03">
        <w:rPr>
          <w:rFonts w:cs="Batang"/>
          <w:sz w:val="22"/>
          <w:szCs w:val="22"/>
          <w:lang w:eastAsia="en-US"/>
        </w:rPr>
        <w:t>ignal</w:t>
      </w:r>
      <w:r w:rsidR="002B504B" w:rsidRPr="002B504B">
        <w:rPr>
          <w:rFonts w:cs="Batang"/>
          <w:sz w:val="22"/>
          <w:szCs w:val="22"/>
          <w:lang w:eastAsia="en-US"/>
        </w:rPr>
        <w:t xml:space="preserve">, RACH, CSI-RS, SRS transmission </w:t>
      </w:r>
      <w:r w:rsidR="002B504B">
        <w:rPr>
          <w:rFonts w:cs="Batang"/>
          <w:sz w:val="22"/>
          <w:szCs w:val="22"/>
          <w:lang w:eastAsia="en-US"/>
        </w:rPr>
        <w:t xml:space="preserve">may be transmitted </w:t>
      </w:r>
      <w:r w:rsidR="002B504B" w:rsidRPr="002B504B">
        <w:rPr>
          <w:rFonts w:cs="Batang"/>
          <w:sz w:val="22"/>
          <w:szCs w:val="22"/>
          <w:lang w:eastAsia="en-US"/>
        </w:rPr>
        <w:t>without LBT</w:t>
      </w:r>
      <w:r w:rsidR="002B504B">
        <w:rPr>
          <w:rFonts w:cs="Batang"/>
          <w:sz w:val="22"/>
          <w:szCs w:val="22"/>
          <w:lang w:eastAsia="en-US"/>
        </w:rPr>
        <w:t xml:space="preserve"> even in a scenario where LBT is mandated. This e</w:t>
      </w:r>
      <w:r w:rsidR="002B504B" w:rsidRPr="002B504B">
        <w:rPr>
          <w:rFonts w:cs="Batang"/>
          <w:sz w:val="22"/>
          <w:szCs w:val="22"/>
          <w:lang w:eastAsia="en-US"/>
        </w:rPr>
        <w:t>nsure</w:t>
      </w:r>
      <w:r w:rsidR="002B504B">
        <w:rPr>
          <w:rFonts w:cs="Batang"/>
          <w:sz w:val="22"/>
          <w:szCs w:val="22"/>
          <w:lang w:eastAsia="en-US"/>
        </w:rPr>
        <w:t xml:space="preserve">s </w:t>
      </w:r>
      <w:r w:rsidR="002B504B" w:rsidRPr="002B504B">
        <w:rPr>
          <w:rFonts w:cs="Batang"/>
          <w:sz w:val="22"/>
          <w:szCs w:val="22"/>
          <w:lang w:eastAsia="en-US"/>
        </w:rPr>
        <w:t xml:space="preserve">regular beam-training </w:t>
      </w:r>
      <w:r w:rsidR="00644D03">
        <w:rPr>
          <w:rFonts w:cs="Batang"/>
          <w:sz w:val="22"/>
          <w:szCs w:val="22"/>
          <w:lang w:eastAsia="en-US"/>
        </w:rPr>
        <w:t>reference signal</w:t>
      </w:r>
      <w:r w:rsidR="002B504B" w:rsidRPr="002B504B">
        <w:rPr>
          <w:rFonts w:cs="Batang"/>
          <w:sz w:val="22"/>
          <w:szCs w:val="22"/>
          <w:lang w:eastAsia="en-US"/>
        </w:rPr>
        <w:t xml:space="preserve"> transmission</w:t>
      </w:r>
      <w:r w:rsidR="002B504B">
        <w:rPr>
          <w:rFonts w:cs="Batang"/>
          <w:sz w:val="22"/>
          <w:szCs w:val="22"/>
          <w:lang w:eastAsia="en-US"/>
        </w:rPr>
        <w:t xml:space="preserve"> such as the SS/PBCH block can be transmitted without delay unlike in the &lt; 7 GHz unlicensed band. </w:t>
      </w:r>
      <w:r w:rsidR="00ED23BE">
        <w:rPr>
          <w:rFonts w:cs="Batang"/>
          <w:sz w:val="22"/>
          <w:szCs w:val="22"/>
          <w:lang w:eastAsia="en-US"/>
        </w:rPr>
        <w:t>The signals</w:t>
      </w:r>
      <w:r w:rsidR="002B504B">
        <w:rPr>
          <w:rFonts w:cs="Batang"/>
          <w:sz w:val="22"/>
          <w:szCs w:val="22"/>
          <w:lang w:eastAsia="en-US"/>
        </w:rPr>
        <w:t xml:space="preserve"> just </w:t>
      </w:r>
      <w:r w:rsidR="00ED23BE">
        <w:rPr>
          <w:rFonts w:cs="Batang"/>
          <w:sz w:val="22"/>
          <w:szCs w:val="22"/>
          <w:lang w:eastAsia="en-US"/>
        </w:rPr>
        <w:t>have</w:t>
      </w:r>
      <w:r w:rsidR="002B504B">
        <w:rPr>
          <w:rFonts w:cs="Batang"/>
          <w:sz w:val="22"/>
          <w:szCs w:val="22"/>
          <w:lang w:eastAsia="en-US"/>
        </w:rPr>
        <w:t xml:space="preserve"> to be transmitted with a duration of less than 10% of 100 msecs.</w:t>
      </w:r>
    </w:p>
    <w:p w14:paraId="560B90FB" w14:textId="14C5E18D" w:rsidR="002B504B" w:rsidRDefault="002B504B" w:rsidP="002B504B">
      <w:pPr>
        <w:jc w:val="both"/>
        <w:rPr>
          <w:rFonts w:cs="Batang"/>
          <w:sz w:val="22"/>
          <w:szCs w:val="22"/>
          <w:lang w:eastAsia="en-US"/>
        </w:rPr>
      </w:pPr>
    </w:p>
    <w:p w14:paraId="079FF965" w14:textId="5AF35CC9" w:rsidR="002B504B" w:rsidRDefault="002B504B" w:rsidP="002B504B">
      <w:pPr>
        <w:jc w:val="both"/>
        <w:rPr>
          <w:rFonts w:cs="Batang"/>
          <w:sz w:val="22"/>
          <w:szCs w:val="22"/>
          <w:lang w:eastAsia="en-US"/>
        </w:rPr>
      </w:pPr>
      <w:r>
        <w:rPr>
          <w:rFonts w:cs="Batang"/>
          <w:sz w:val="22"/>
          <w:szCs w:val="22"/>
          <w:lang w:eastAsia="en-US"/>
        </w:rPr>
        <w:t>Note that the DRS may consist of the P</w:t>
      </w:r>
      <w:r w:rsidRPr="002B504B">
        <w:rPr>
          <w:rFonts w:cs="Batang"/>
          <w:sz w:val="22"/>
          <w:szCs w:val="22"/>
          <w:lang w:eastAsia="en-US"/>
        </w:rPr>
        <w:t>BCH in addition to PSS/SSS</w:t>
      </w:r>
      <w:r>
        <w:rPr>
          <w:rFonts w:cs="Batang"/>
          <w:sz w:val="22"/>
          <w:szCs w:val="22"/>
          <w:lang w:eastAsia="en-US"/>
        </w:rPr>
        <w:t xml:space="preserve">, </w:t>
      </w:r>
      <w:r w:rsidRPr="002B504B">
        <w:rPr>
          <w:rFonts w:cs="Batang"/>
          <w:sz w:val="22"/>
          <w:szCs w:val="22"/>
          <w:lang w:eastAsia="en-US"/>
        </w:rPr>
        <w:t>CSI-RS, RMSI-CORESET(s),RMSI-PDSCH(s)</w:t>
      </w:r>
      <w:r>
        <w:rPr>
          <w:rFonts w:cs="Batang"/>
          <w:sz w:val="22"/>
          <w:szCs w:val="22"/>
          <w:lang w:eastAsia="en-US"/>
        </w:rPr>
        <w:t xml:space="preserve">. </w:t>
      </w:r>
      <w:r w:rsidR="00644D03">
        <w:rPr>
          <w:rFonts w:cs="Batang"/>
          <w:sz w:val="22"/>
          <w:szCs w:val="22"/>
          <w:lang w:eastAsia="en-US"/>
        </w:rPr>
        <w:t>It</w:t>
      </w:r>
      <w:r w:rsidRPr="002B504B">
        <w:rPr>
          <w:rFonts w:cs="Batang"/>
          <w:sz w:val="22"/>
          <w:szCs w:val="22"/>
          <w:lang w:eastAsia="en-US"/>
        </w:rPr>
        <w:t xml:space="preserve"> may also include OSI and paging.</w:t>
      </w:r>
      <w:r>
        <w:rPr>
          <w:rFonts w:cs="Batang"/>
          <w:sz w:val="22"/>
          <w:szCs w:val="22"/>
          <w:lang w:eastAsia="en-US"/>
        </w:rPr>
        <w:t xml:space="preserve"> </w:t>
      </w:r>
      <w:r w:rsidRPr="002B504B">
        <w:rPr>
          <w:rFonts w:cs="Batang"/>
          <w:sz w:val="22"/>
          <w:szCs w:val="22"/>
          <w:lang w:eastAsia="en-US"/>
        </w:rPr>
        <w:t>In addition</w:t>
      </w:r>
      <w:r w:rsidR="00644D03">
        <w:rPr>
          <w:rFonts w:cs="Batang"/>
          <w:sz w:val="22"/>
          <w:szCs w:val="22"/>
          <w:lang w:eastAsia="en-US"/>
        </w:rPr>
        <w:t xml:space="preserve"> to the DRS</w:t>
      </w:r>
      <w:r w:rsidRPr="002B504B">
        <w:rPr>
          <w:rFonts w:cs="Batang"/>
          <w:sz w:val="22"/>
          <w:szCs w:val="22"/>
          <w:lang w:eastAsia="en-US"/>
        </w:rPr>
        <w:t>, p</w:t>
      </w:r>
      <w:r w:rsidR="00644D03">
        <w:rPr>
          <w:rFonts w:cs="Batang"/>
          <w:sz w:val="22"/>
          <w:szCs w:val="22"/>
          <w:lang w:eastAsia="en-US"/>
        </w:rPr>
        <w:t>eriodic</w:t>
      </w:r>
      <w:r w:rsidRPr="002B504B">
        <w:rPr>
          <w:rFonts w:cs="Batang"/>
          <w:sz w:val="22"/>
          <w:szCs w:val="22"/>
          <w:lang w:eastAsia="en-US"/>
        </w:rPr>
        <w:t xml:space="preserve">-CSI, </w:t>
      </w:r>
      <w:r w:rsidR="00644D03">
        <w:rPr>
          <w:rFonts w:cs="Batang"/>
          <w:sz w:val="22"/>
          <w:szCs w:val="22"/>
          <w:lang w:eastAsia="en-US"/>
        </w:rPr>
        <w:t xml:space="preserve"> and SPS</w:t>
      </w:r>
      <w:r w:rsidRPr="002B504B">
        <w:rPr>
          <w:rFonts w:cs="Batang"/>
          <w:sz w:val="22"/>
          <w:szCs w:val="22"/>
          <w:lang w:eastAsia="en-US"/>
        </w:rPr>
        <w:t xml:space="preserve">-CSI feedback </w:t>
      </w:r>
      <w:r w:rsidR="00ED23BE">
        <w:rPr>
          <w:rFonts w:cs="Batang"/>
          <w:sz w:val="22"/>
          <w:szCs w:val="22"/>
          <w:lang w:eastAsia="en-US"/>
        </w:rPr>
        <w:t>can</w:t>
      </w:r>
      <w:r w:rsidRPr="002B504B">
        <w:rPr>
          <w:rFonts w:cs="Batang"/>
          <w:sz w:val="22"/>
          <w:szCs w:val="22"/>
          <w:lang w:eastAsia="en-US"/>
        </w:rPr>
        <w:t xml:space="preserve"> be allowed without LBT outside of </w:t>
      </w:r>
      <w:r w:rsidR="00644D03">
        <w:rPr>
          <w:rFonts w:cs="Batang"/>
          <w:sz w:val="22"/>
          <w:szCs w:val="22"/>
          <w:lang w:eastAsia="en-US"/>
        </w:rPr>
        <w:t>Channel Occupancy Time (</w:t>
      </w:r>
      <w:r w:rsidRPr="002B504B">
        <w:rPr>
          <w:rFonts w:cs="Batang"/>
          <w:sz w:val="22"/>
          <w:szCs w:val="22"/>
          <w:lang w:eastAsia="en-US"/>
        </w:rPr>
        <w:t>COT</w:t>
      </w:r>
      <w:r w:rsidR="00644D03">
        <w:rPr>
          <w:rFonts w:cs="Batang"/>
          <w:sz w:val="22"/>
          <w:szCs w:val="22"/>
          <w:lang w:eastAsia="en-US"/>
        </w:rPr>
        <w:t>) if the limits are not violated</w:t>
      </w:r>
      <w:r>
        <w:rPr>
          <w:rFonts w:cs="Batang"/>
          <w:sz w:val="22"/>
          <w:szCs w:val="22"/>
          <w:lang w:eastAsia="en-US"/>
        </w:rPr>
        <w:t>.</w:t>
      </w:r>
    </w:p>
    <w:p w14:paraId="0B3206C4" w14:textId="193A331F" w:rsidR="002B504B" w:rsidRDefault="002B504B" w:rsidP="002B504B">
      <w:pPr>
        <w:jc w:val="both"/>
        <w:rPr>
          <w:rFonts w:cs="Batang"/>
          <w:sz w:val="22"/>
          <w:szCs w:val="22"/>
          <w:lang w:eastAsia="en-US"/>
        </w:rPr>
      </w:pPr>
    </w:p>
    <w:p w14:paraId="26C2A226" w14:textId="3150B4FE" w:rsidR="00A20DBA" w:rsidRPr="00000CE1" w:rsidRDefault="002B504B" w:rsidP="002B504B">
      <w:pPr>
        <w:jc w:val="both"/>
        <w:rPr>
          <w:rFonts w:cs="Batang"/>
          <w:sz w:val="22"/>
          <w:szCs w:val="22"/>
          <w:lang w:eastAsia="en-US"/>
        </w:rPr>
      </w:pPr>
      <w:r>
        <w:rPr>
          <w:rFonts w:cs="Batang"/>
          <w:sz w:val="22"/>
          <w:szCs w:val="22"/>
          <w:lang w:eastAsia="en-US"/>
        </w:rPr>
        <w:t>The actual signals transmitted will depend on the number of SSBs, the DRS periodicity and the sub-carrier spacing. As an example, w</w:t>
      </w:r>
      <w:r w:rsidRPr="002B504B">
        <w:rPr>
          <w:rFonts w:cs="Batang"/>
          <w:sz w:val="22"/>
          <w:szCs w:val="22"/>
          <w:lang w:eastAsia="en-US"/>
        </w:rPr>
        <w:t xml:space="preserve">ith 64 SSB, 20ms DRS periodicity, </w:t>
      </w:r>
      <w:r w:rsidR="00644D03">
        <w:rPr>
          <w:rFonts w:cs="Batang"/>
          <w:sz w:val="22"/>
          <w:szCs w:val="22"/>
          <w:lang w:eastAsia="en-US"/>
        </w:rPr>
        <w:t xml:space="preserve"> and </w:t>
      </w:r>
      <w:r w:rsidRPr="002B504B">
        <w:rPr>
          <w:rFonts w:cs="Batang"/>
          <w:sz w:val="22"/>
          <w:szCs w:val="22"/>
          <w:lang w:eastAsia="en-US"/>
        </w:rPr>
        <w:t>240</w:t>
      </w:r>
      <w:r w:rsidR="00644D03">
        <w:rPr>
          <w:rFonts w:cs="Batang"/>
          <w:sz w:val="22"/>
          <w:szCs w:val="22"/>
          <w:lang w:eastAsia="en-US"/>
        </w:rPr>
        <w:t xml:space="preserve"> kHz</w:t>
      </w:r>
      <w:r w:rsidRPr="002B504B">
        <w:rPr>
          <w:rFonts w:cs="Batang"/>
          <w:sz w:val="22"/>
          <w:szCs w:val="22"/>
          <w:lang w:eastAsia="en-US"/>
        </w:rPr>
        <w:t xml:space="preserve"> subcarrier spacing,</w:t>
      </w:r>
      <w:r>
        <w:rPr>
          <w:rFonts w:cs="Batang"/>
          <w:sz w:val="22"/>
          <w:szCs w:val="22"/>
          <w:lang w:eastAsia="en-US"/>
        </w:rPr>
        <w:t xml:space="preserve"> this results in a</w:t>
      </w:r>
      <w:r w:rsidRPr="002B504B">
        <w:rPr>
          <w:rFonts w:cs="Batang"/>
          <w:sz w:val="22"/>
          <w:szCs w:val="22"/>
          <w:lang w:eastAsia="en-US"/>
        </w:rPr>
        <w:t xml:space="preserve"> total overhead (time domain) </w:t>
      </w:r>
      <w:r>
        <w:rPr>
          <w:rFonts w:cs="Batang"/>
          <w:sz w:val="22"/>
          <w:szCs w:val="22"/>
          <w:lang w:eastAsia="en-US"/>
        </w:rPr>
        <w:t xml:space="preserve">of </w:t>
      </w:r>
      <w:r w:rsidRPr="002B504B">
        <w:rPr>
          <w:rFonts w:cs="Batang"/>
          <w:sz w:val="22"/>
          <w:szCs w:val="22"/>
          <w:lang w:eastAsia="en-US"/>
        </w:rPr>
        <w:t xml:space="preserve">around 5.7%. </w:t>
      </w:r>
      <w:r>
        <w:rPr>
          <w:rFonts w:cs="Batang"/>
          <w:sz w:val="22"/>
          <w:szCs w:val="22"/>
          <w:lang w:eastAsia="en-US"/>
        </w:rPr>
        <w:t xml:space="preserve"> </w:t>
      </w:r>
      <w:r w:rsidRPr="002B504B">
        <w:rPr>
          <w:rFonts w:cs="Batang"/>
          <w:sz w:val="22"/>
          <w:szCs w:val="22"/>
          <w:lang w:eastAsia="en-US"/>
        </w:rPr>
        <w:t xml:space="preserve">When </w:t>
      </w:r>
      <w:r w:rsidR="00644D03">
        <w:rPr>
          <w:rFonts w:cs="Batang"/>
          <w:sz w:val="22"/>
          <w:szCs w:val="22"/>
          <w:lang w:eastAsia="en-US"/>
        </w:rPr>
        <w:t xml:space="preserve">the </w:t>
      </w:r>
      <w:r w:rsidRPr="002B504B">
        <w:rPr>
          <w:rFonts w:cs="Batang"/>
          <w:sz w:val="22"/>
          <w:szCs w:val="22"/>
          <w:lang w:eastAsia="en-US"/>
        </w:rPr>
        <w:t xml:space="preserve">gNB </w:t>
      </w:r>
      <w:r>
        <w:rPr>
          <w:rFonts w:cs="Batang"/>
          <w:sz w:val="22"/>
          <w:szCs w:val="22"/>
          <w:lang w:eastAsia="en-US"/>
        </w:rPr>
        <w:t>acquires</w:t>
      </w:r>
      <w:r w:rsidRPr="002B504B">
        <w:rPr>
          <w:rFonts w:cs="Batang"/>
          <w:sz w:val="22"/>
          <w:szCs w:val="22"/>
          <w:lang w:eastAsia="en-US"/>
        </w:rPr>
        <w:t xml:space="preserve"> the COT which include</w:t>
      </w:r>
      <w:r w:rsidR="00644D03">
        <w:rPr>
          <w:rFonts w:cs="Batang"/>
          <w:sz w:val="22"/>
          <w:szCs w:val="22"/>
          <w:lang w:eastAsia="en-US"/>
        </w:rPr>
        <w:t>s</w:t>
      </w:r>
      <w:r w:rsidRPr="002B504B">
        <w:rPr>
          <w:rFonts w:cs="Batang"/>
          <w:sz w:val="22"/>
          <w:szCs w:val="22"/>
          <w:lang w:eastAsia="en-US"/>
        </w:rPr>
        <w:t xml:space="preserve"> the SSB transmission location as part of the COT, </w:t>
      </w:r>
      <w:r>
        <w:rPr>
          <w:rFonts w:cs="Batang"/>
          <w:sz w:val="22"/>
          <w:szCs w:val="22"/>
          <w:lang w:eastAsia="en-US"/>
        </w:rPr>
        <w:t xml:space="preserve">the </w:t>
      </w:r>
      <w:r w:rsidRPr="002B504B">
        <w:rPr>
          <w:rFonts w:cs="Batang"/>
          <w:sz w:val="22"/>
          <w:szCs w:val="22"/>
          <w:lang w:eastAsia="en-US"/>
        </w:rPr>
        <w:t xml:space="preserve">gNB </w:t>
      </w:r>
      <w:r w:rsidR="00644D03">
        <w:rPr>
          <w:rFonts w:cs="Batang"/>
          <w:sz w:val="22"/>
          <w:szCs w:val="22"/>
          <w:lang w:eastAsia="en-US"/>
        </w:rPr>
        <w:t xml:space="preserve">may </w:t>
      </w:r>
      <w:r w:rsidRPr="002B504B">
        <w:rPr>
          <w:rFonts w:cs="Batang"/>
          <w:sz w:val="22"/>
          <w:szCs w:val="22"/>
          <w:lang w:eastAsia="en-US"/>
        </w:rPr>
        <w:t xml:space="preserve">transmit </w:t>
      </w:r>
      <w:r>
        <w:rPr>
          <w:rFonts w:cs="Batang"/>
          <w:sz w:val="22"/>
          <w:szCs w:val="22"/>
          <w:lang w:eastAsia="en-US"/>
        </w:rPr>
        <w:t xml:space="preserve">the </w:t>
      </w:r>
      <w:r w:rsidRPr="002B504B">
        <w:rPr>
          <w:rFonts w:cs="Batang"/>
          <w:sz w:val="22"/>
          <w:szCs w:val="22"/>
          <w:lang w:eastAsia="en-US"/>
        </w:rPr>
        <w:t>SSB together with other DL transmission</w:t>
      </w:r>
      <w:r>
        <w:rPr>
          <w:rFonts w:cs="Batang"/>
          <w:sz w:val="22"/>
          <w:szCs w:val="22"/>
          <w:lang w:eastAsia="en-US"/>
        </w:rPr>
        <w:t>s</w:t>
      </w:r>
      <w:r w:rsidRPr="002B504B">
        <w:rPr>
          <w:rFonts w:cs="Batang"/>
          <w:sz w:val="22"/>
          <w:szCs w:val="22"/>
          <w:lang w:eastAsia="en-US"/>
        </w:rPr>
        <w:t xml:space="preserve">. </w:t>
      </w:r>
      <w:r>
        <w:rPr>
          <w:rFonts w:cs="Batang"/>
          <w:sz w:val="22"/>
          <w:szCs w:val="22"/>
          <w:lang w:eastAsia="en-US"/>
        </w:rPr>
        <w:t xml:space="preserve">The </w:t>
      </w:r>
      <w:r w:rsidRPr="002B504B">
        <w:rPr>
          <w:rFonts w:cs="Batang"/>
          <w:sz w:val="22"/>
          <w:szCs w:val="22"/>
          <w:lang w:eastAsia="en-US"/>
        </w:rPr>
        <w:t>gNB will transmit SSB at</w:t>
      </w:r>
      <w:r w:rsidR="00644D03">
        <w:rPr>
          <w:rFonts w:cs="Batang"/>
          <w:sz w:val="22"/>
          <w:szCs w:val="22"/>
          <w:lang w:eastAsia="en-US"/>
        </w:rPr>
        <w:t xml:space="preserve"> its </w:t>
      </w:r>
      <w:r w:rsidRPr="002B504B">
        <w:rPr>
          <w:rFonts w:cs="Batang"/>
          <w:sz w:val="22"/>
          <w:szCs w:val="22"/>
          <w:lang w:eastAsia="en-US"/>
        </w:rPr>
        <w:t>scheduled location</w:t>
      </w:r>
      <w:r>
        <w:rPr>
          <w:rFonts w:cs="Batang"/>
          <w:sz w:val="22"/>
          <w:szCs w:val="22"/>
          <w:lang w:eastAsia="en-US"/>
        </w:rPr>
        <w:t xml:space="preserve"> </w:t>
      </w:r>
      <w:r w:rsidR="00062327">
        <w:rPr>
          <w:rFonts w:cs="Batang"/>
          <w:sz w:val="22"/>
          <w:szCs w:val="22"/>
          <w:lang w:eastAsia="en-US"/>
        </w:rPr>
        <w:t>as a short control signaling</w:t>
      </w:r>
      <w:r w:rsidR="00062327">
        <w:rPr>
          <w:rFonts w:cs="Batang"/>
          <w:sz w:val="22"/>
          <w:szCs w:val="22"/>
          <w:lang w:eastAsia="en-US"/>
        </w:rPr>
        <w:t xml:space="preserve"> </w:t>
      </w:r>
      <w:r>
        <w:rPr>
          <w:rFonts w:cs="Batang"/>
          <w:sz w:val="22"/>
          <w:szCs w:val="22"/>
          <w:lang w:eastAsia="en-US"/>
        </w:rPr>
        <w:t>only</w:t>
      </w:r>
      <w:r w:rsidR="00ED23BE">
        <w:rPr>
          <w:rFonts w:cs="Batang"/>
          <w:sz w:val="22"/>
          <w:szCs w:val="22"/>
          <w:lang w:eastAsia="en-US"/>
        </w:rPr>
        <w:t xml:space="preserve"> in</w:t>
      </w:r>
      <w:r>
        <w:rPr>
          <w:rFonts w:cs="Batang"/>
          <w:sz w:val="22"/>
          <w:szCs w:val="22"/>
          <w:lang w:eastAsia="en-US"/>
        </w:rPr>
        <w:t xml:space="preserve"> cases w</w:t>
      </w:r>
      <w:r w:rsidRPr="002B504B">
        <w:rPr>
          <w:rFonts w:cs="Batang"/>
          <w:sz w:val="22"/>
          <w:szCs w:val="22"/>
          <w:lang w:eastAsia="en-US"/>
        </w:rPr>
        <w:t xml:space="preserve">hen </w:t>
      </w:r>
      <w:r>
        <w:rPr>
          <w:rFonts w:cs="Batang"/>
          <w:sz w:val="22"/>
          <w:szCs w:val="22"/>
          <w:lang w:eastAsia="en-US"/>
        </w:rPr>
        <w:t xml:space="preserve">the </w:t>
      </w:r>
      <w:r w:rsidRPr="002B504B">
        <w:rPr>
          <w:rFonts w:cs="Batang"/>
          <w:sz w:val="22"/>
          <w:szCs w:val="22"/>
          <w:lang w:eastAsia="en-US"/>
        </w:rPr>
        <w:t xml:space="preserve">gNB does not win the COT </w:t>
      </w:r>
      <w:r>
        <w:rPr>
          <w:rFonts w:cs="Batang"/>
          <w:sz w:val="22"/>
          <w:szCs w:val="22"/>
          <w:lang w:eastAsia="en-US"/>
        </w:rPr>
        <w:t xml:space="preserve">e.g. </w:t>
      </w:r>
      <w:r w:rsidRPr="002B504B">
        <w:rPr>
          <w:rFonts w:cs="Batang"/>
          <w:sz w:val="22"/>
          <w:szCs w:val="22"/>
          <w:lang w:eastAsia="en-US"/>
        </w:rPr>
        <w:t>due to CCA failure</w:t>
      </w:r>
      <w:r>
        <w:rPr>
          <w:rFonts w:cs="Batang"/>
          <w:sz w:val="22"/>
          <w:szCs w:val="22"/>
          <w:lang w:eastAsia="en-US"/>
        </w:rPr>
        <w:t>.</w:t>
      </w:r>
      <w:r w:rsidR="00ED23BE">
        <w:rPr>
          <w:rFonts w:cs="Batang"/>
          <w:sz w:val="22"/>
          <w:szCs w:val="22"/>
          <w:lang w:eastAsia="en-US"/>
        </w:rPr>
        <w:t xml:space="preserve"> </w:t>
      </w:r>
      <w:r w:rsidR="00ED23BE">
        <w:rPr>
          <w:rFonts w:cs="Batang"/>
          <w:sz w:val="22"/>
          <w:szCs w:val="22"/>
          <w:lang w:eastAsia="en-US"/>
        </w:rPr>
        <w:t>As such, 5.7 % is an upper bound</w:t>
      </w:r>
      <w:r w:rsidR="00ED23BE">
        <w:rPr>
          <w:rFonts w:cs="Batang"/>
          <w:sz w:val="22"/>
          <w:szCs w:val="22"/>
          <w:lang w:eastAsia="en-US"/>
        </w:rPr>
        <w:t xml:space="preserve"> and actual transmission without LBT should be less</w:t>
      </w:r>
      <w:r w:rsidR="00ED23BE">
        <w:rPr>
          <w:rFonts w:cs="Batang"/>
          <w:sz w:val="22"/>
          <w:szCs w:val="22"/>
          <w:lang w:eastAsia="en-US"/>
        </w:rPr>
        <w:t xml:space="preserve">. </w:t>
      </w:r>
      <w:r>
        <w:rPr>
          <w:rFonts w:cs="Batang"/>
          <w:sz w:val="22"/>
          <w:szCs w:val="22"/>
          <w:lang w:eastAsia="en-US"/>
        </w:rPr>
        <w:t xml:space="preserve"> </w:t>
      </w:r>
      <w:r w:rsidRPr="002B504B">
        <w:rPr>
          <w:rFonts w:cs="Batang"/>
          <w:sz w:val="22"/>
          <w:szCs w:val="22"/>
          <w:lang w:eastAsia="en-US"/>
        </w:rPr>
        <w:t>For other non-SSB occupied RBs in the SSB symbol, broadcast transmission such as SI</w:t>
      </w:r>
      <w:r w:rsidR="00644D03">
        <w:rPr>
          <w:rFonts w:cs="Batang"/>
          <w:sz w:val="22"/>
          <w:szCs w:val="22"/>
          <w:lang w:eastAsia="en-US"/>
        </w:rPr>
        <w:t xml:space="preserve"> and </w:t>
      </w:r>
      <w:r w:rsidRPr="002B504B">
        <w:rPr>
          <w:rFonts w:cs="Batang"/>
          <w:sz w:val="22"/>
          <w:szCs w:val="22"/>
          <w:lang w:eastAsia="en-US"/>
        </w:rPr>
        <w:t xml:space="preserve"> paging can be transmitted. Normal data traffic </w:t>
      </w:r>
      <w:r>
        <w:rPr>
          <w:rFonts w:cs="Batang"/>
          <w:sz w:val="22"/>
          <w:szCs w:val="22"/>
          <w:lang w:eastAsia="en-US"/>
        </w:rPr>
        <w:t xml:space="preserve">may </w:t>
      </w:r>
      <w:r w:rsidR="00644D03">
        <w:rPr>
          <w:rFonts w:cs="Batang"/>
          <w:sz w:val="22"/>
          <w:szCs w:val="22"/>
          <w:lang w:eastAsia="en-US"/>
        </w:rPr>
        <w:t xml:space="preserve">be subject to CCA. </w:t>
      </w:r>
    </w:p>
    <w:p w14:paraId="168F486B" w14:textId="77777777" w:rsidR="0080600C" w:rsidRDefault="0080600C" w:rsidP="00056CD3">
      <w:pPr>
        <w:jc w:val="both"/>
        <w:rPr>
          <w:rFonts w:cs="Batang"/>
          <w:b/>
          <w:bCs/>
          <w:i/>
          <w:iCs/>
          <w:sz w:val="22"/>
          <w:szCs w:val="22"/>
          <w:lang w:val="en-GB" w:eastAsia="en-US"/>
        </w:rPr>
      </w:pPr>
    </w:p>
    <w:p w14:paraId="41C33E5F" w14:textId="3767D915" w:rsidR="00056CD3" w:rsidRPr="008B3B71" w:rsidRDefault="00056CD3" w:rsidP="00D32078">
      <w:pPr>
        <w:jc w:val="both"/>
        <w:rPr>
          <w:rFonts w:cs="Batang"/>
          <w:sz w:val="22"/>
          <w:szCs w:val="22"/>
          <w:highlight w:val="yellow"/>
          <w:lang w:val="en-GB" w:eastAsia="en-US"/>
        </w:rPr>
      </w:pPr>
    </w:p>
    <w:p w14:paraId="10BBDFE3" w14:textId="5659E8E1" w:rsidR="00A20DBA" w:rsidRPr="00A20DBA" w:rsidRDefault="00644D03" w:rsidP="00000CE1">
      <w:pPr>
        <w:jc w:val="both"/>
        <w:rPr>
          <w:rFonts w:cs="Batang"/>
          <w:i/>
          <w:iCs/>
          <w:sz w:val="22"/>
          <w:szCs w:val="22"/>
          <w:lang w:eastAsia="en-US"/>
        </w:rPr>
      </w:pPr>
      <w:r w:rsidRPr="00BD0525">
        <w:rPr>
          <w:rFonts w:cs="Batang"/>
          <w:b/>
          <w:bCs/>
          <w:i/>
          <w:iCs/>
          <w:sz w:val="22"/>
          <w:szCs w:val="22"/>
          <w:lang w:eastAsia="en-US"/>
        </w:rPr>
        <w:t>Proposal 1</w:t>
      </w:r>
      <w:r w:rsidR="00A20DBA" w:rsidRPr="00A20DBA">
        <w:rPr>
          <w:rFonts w:cs="Batang"/>
          <w:b/>
          <w:bCs/>
          <w:i/>
          <w:iCs/>
          <w:sz w:val="22"/>
          <w:szCs w:val="22"/>
          <w:lang w:eastAsia="en-US"/>
        </w:rPr>
        <w:t>:</w:t>
      </w:r>
      <w:r w:rsidR="00A20DBA" w:rsidRPr="00A20DBA">
        <w:rPr>
          <w:rFonts w:cs="Batang"/>
          <w:i/>
          <w:iCs/>
          <w:sz w:val="22"/>
          <w:szCs w:val="22"/>
          <w:lang w:eastAsia="en-US"/>
        </w:rPr>
        <w:t xml:space="preserve"> The mechanism and condition(s) to switch between channel access with LBT and channel access without LBT should allow:</w:t>
      </w:r>
    </w:p>
    <w:p w14:paraId="1288BF4A" w14:textId="0328D2A0" w:rsidR="00A20DBA" w:rsidRPr="00A20DBA" w:rsidRDefault="00A20DBA" w:rsidP="00790F07">
      <w:pPr>
        <w:numPr>
          <w:ilvl w:val="2"/>
          <w:numId w:val="7"/>
        </w:numPr>
        <w:jc w:val="both"/>
        <w:rPr>
          <w:rFonts w:cs="Batang"/>
          <w:i/>
          <w:iCs/>
          <w:sz w:val="22"/>
          <w:szCs w:val="22"/>
          <w:lang w:eastAsia="en-US"/>
        </w:rPr>
      </w:pPr>
      <w:r w:rsidRPr="00A20DBA">
        <w:rPr>
          <w:rFonts w:cs="Batang"/>
          <w:i/>
          <w:iCs/>
          <w:sz w:val="22"/>
          <w:szCs w:val="22"/>
          <w:lang w:eastAsia="en-US"/>
        </w:rPr>
        <w:t xml:space="preserve">Switching between LBT-based and non-LBT based access based on </w:t>
      </w:r>
      <w:r w:rsidR="00644D03">
        <w:rPr>
          <w:rFonts w:cs="Batang"/>
          <w:i/>
          <w:iCs/>
          <w:sz w:val="22"/>
          <w:szCs w:val="22"/>
          <w:lang w:eastAsia="en-US"/>
        </w:rPr>
        <w:t xml:space="preserve">the </w:t>
      </w:r>
      <w:r w:rsidRPr="00A20DBA">
        <w:rPr>
          <w:rFonts w:cs="Batang"/>
          <w:i/>
          <w:iCs/>
          <w:sz w:val="22"/>
          <w:szCs w:val="22"/>
          <w:lang w:eastAsia="en-US"/>
        </w:rPr>
        <w:t>regulatory environment only or based on the interference environment the UE(s) experience when regulation allows.</w:t>
      </w:r>
    </w:p>
    <w:p w14:paraId="231F39B9" w14:textId="2778E5A3" w:rsidR="00A20DBA" w:rsidRDefault="00A20DBA" w:rsidP="00790F07">
      <w:pPr>
        <w:numPr>
          <w:ilvl w:val="2"/>
          <w:numId w:val="7"/>
        </w:numPr>
        <w:jc w:val="both"/>
        <w:rPr>
          <w:rFonts w:cs="Batang"/>
          <w:i/>
          <w:iCs/>
          <w:sz w:val="22"/>
          <w:szCs w:val="22"/>
          <w:lang w:eastAsia="en-US"/>
        </w:rPr>
      </w:pPr>
      <w:r w:rsidRPr="00A20DBA">
        <w:rPr>
          <w:rFonts w:cs="Batang"/>
          <w:i/>
          <w:iCs/>
          <w:sz w:val="22"/>
          <w:szCs w:val="22"/>
          <w:lang w:eastAsia="en-US"/>
        </w:rPr>
        <w:t xml:space="preserve">For LBT channel access, non-LBT transmission for specific channels (e.g. SSB) can occur in at most 10% </w:t>
      </w:r>
      <w:r w:rsidR="00062327">
        <w:rPr>
          <w:rFonts w:cs="Batang"/>
          <w:i/>
          <w:iCs/>
          <w:sz w:val="22"/>
          <w:szCs w:val="22"/>
          <w:lang w:eastAsia="en-US"/>
        </w:rPr>
        <w:t>within an observation period of 100ms</w:t>
      </w:r>
      <w:r w:rsidRPr="00A20DBA">
        <w:rPr>
          <w:rFonts w:cs="Batang"/>
          <w:i/>
          <w:iCs/>
          <w:sz w:val="22"/>
          <w:szCs w:val="22"/>
          <w:lang w:eastAsia="en-US"/>
        </w:rPr>
        <w:t>.</w:t>
      </w:r>
    </w:p>
    <w:p w14:paraId="1C02B5D3" w14:textId="2F0619CC" w:rsidR="00644D03" w:rsidRDefault="00644D03" w:rsidP="00644D03">
      <w:pPr>
        <w:jc w:val="both"/>
        <w:rPr>
          <w:rFonts w:cs="Batang"/>
          <w:i/>
          <w:iCs/>
          <w:sz w:val="22"/>
          <w:szCs w:val="22"/>
          <w:lang w:eastAsia="en-US"/>
        </w:rPr>
      </w:pPr>
    </w:p>
    <w:p w14:paraId="18187F27" w14:textId="7ED2BF0D" w:rsidR="00644D03" w:rsidRDefault="00644D03" w:rsidP="00644D03">
      <w:pPr>
        <w:jc w:val="both"/>
        <w:rPr>
          <w:rFonts w:cs="Batang"/>
          <w:i/>
          <w:iCs/>
          <w:sz w:val="22"/>
          <w:szCs w:val="22"/>
          <w:lang w:eastAsia="en-US"/>
        </w:rPr>
      </w:pPr>
    </w:p>
    <w:p w14:paraId="75F8454A" w14:textId="5087138E" w:rsidR="00644D03" w:rsidRDefault="00644D03" w:rsidP="00644D03">
      <w:pPr>
        <w:jc w:val="both"/>
        <w:rPr>
          <w:rFonts w:cs="Batang"/>
          <w:i/>
          <w:iCs/>
          <w:sz w:val="22"/>
          <w:szCs w:val="22"/>
          <w:lang w:eastAsia="en-US"/>
        </w:rPr>
      </w:pPr>
    </w:p>
    <w:p w14:paraId="6906092C" w14:textId="279ACDFA" w:rsidR="00644D03" w:rsidRDefault="00644D03" w:rsidP="00644D03">
      <w:pPr>
        <w:jc w:val="both"/>
        <w:rPr>
          <w:rFonts w:cs="Batang"/>
          <w:i/>
          <w:iCs/>
          <w:sz w:val="22"/>
          <w:szCs w:val="22"/>
          <w:lang w:eastAsia="en-US"/>
        </w:rPr>
      </w:pPr>
    </w:p>
    <w:p w14:paraId="78DCC65C" w14:textId="48B2AFC2" w:rsidR="00644D03" w:rsidRDefault="00644D03" w:rsidP="00644D03">
      <w:pPr>
        <w:jc w:val="both"/>
        <w:rPr>
          <w:rFonts w:cs="Batang"/>
          <w:i/>
          <w:iCs/>
          <w:sz w:val="22"/>
          <w:szCs w:val="22"/>
          <w:lang w:eastAsia="en-US"/>
        </w:rPr>
      </w:pPr>
    </w:p>
    <w:p w14:paraId="0A0D7488" w14:textId="413C2AB9" w:rsidR="00644D03" w:rsidRDefault="00644D03" w:rsidP="00644D03">
      <w:pPr>
        <w:jc w:val="both"/>
        <w:rPr>
          <w:rFonts w:cs="Batang"/>
          <w:i/>
          <w:iCs/>
          <w:sz w:val="22"/>
          <w:szCs w:val="22"/>
          <w:lang w:eastAsia="en-US"/>
        </w:rPr>
      </w:pPr>
    </w:p>
    <w:p w14:paraId="389B2967" w14:textId="61747E26" w:rsidR="00056CD3" w:rsidRPr="00644D03" w:rsidRDefault="00644D03" w:rsidP="00EF357E">
      <w:pPr>
        <w:pStyle w:val="Heading1"/>
        <w:jc w:val="both"/>
        <w:rPr>
          <w:sz w:val="22"/>
          <w:szCs w:val="22"/>
        </w:rPr>
      </w:pPr>
      <w:r>
        <w:lastRenderedPageBreak/>
        <w:t>M</w:t>
      </w:r>
      <w:r w:rsidR="005C7D22">
        <w:t>ultiple Access Schemes</w:t>
      </w:r>
    </w:p>
    <w:p w14:paraId="1C95BA8C" w14:textId="699C9971" w:rsidR="0080600C" w:rsidRDefault="00644D03" w:rsidP="0080600C">
      <w:pPr>
        <w:pStyle w:val="Heading2"/>
      </w:pPr>
      <w:r>
        <w:t xml:space="preserve">Rel-16 </w:t>
      </w:r>
      <w:r w:rsidR="0080600C">
        <w:t>NR-U Multiple Access</w:t>
      </w:r>
    </w:p>
    <w:p w14:paraId="58167A10" w14:textId="77777777" w:rsidR="0080600C" w:rsidRDefault="005C7D22" w:rsidP="005C7D22">
      <w:pPr>
        <w:jc w:val="both"/>
        <w:rPr>
          <w:sz w:val="22"/>
          <w:szCs w:val="22"/>
        </w:rPr>
      </w:pPr>
      <w:r w:rsidRPr="002758D3">
        <w:rPr>
          <w:sz w:val="22"/>
          <w:szCs w:val="22"/>
        </w:rPr>
        <w:t xml:space="preserve">NR-U channel access </w:t>
      </w:r>
      <w:r>
        <w:rPr>
          <w:sz w:val="22"/>
          <w:szCs w:val="22"/>
        </w:rPr>
        <w:t xml:space="preserve">in Rel-16 </w:t>
      </w:r>
      <w:r w:rsidRPr="002758D3">
        <w:rPr>
          <w:sz w:val="22"/>
          <w:szCs w:val="22"/>
        </w:rPr>
        <w:t xml:space="preserve">uses a mix of </w:t>
      </w:r>
      <w:r w:rsidR="0080600C" w:rsidRPr="002758D3">
        <w:rPr>
          <w:sz w:val="22"/>
          <w:szCs w:val="22"/>
        </w:rPr>
        <w:t>schedule</w:t>
      </w:r>
      <w:r w:rsidR="0080600C">
        <w:rPr>
          <w:sz w:val="22"/>
          <w:szCs w:val="22"/>
        </w:rPr>
        <w:t>-like</w:t>
      </w:r>
      <w:r w:rsidR="0080600C" w:rsidRPr="002758D3">
        <w:rPr>
          <w:sz w:val="22"/>
          <w:szCs w:val="22"/>
        </w:rPr>
        <w:t xml:space="preserve"> access </w:t>
      </w:r>
      <w:r w:rsidR="0080600C">
        <w:rPr>
          <w:sz w:val="22"/>
          <w:szCs w:val="22"/>
        </w:rPr>
        <w:t xml:space="preserve">and </w:t>
      </w:r>
      <w:r w:rsidRPr="002758D3">
        <w:rPr>
          <w:sz w:val="22"/>
          <w:szCs w:val="22"/>
        </w:rPr>
        <w:t>contention-based access</w:t>
      </w:r>
      <w:r w:rsidR="0080600C">
        <w:rPr>
          <w:sz w:val="22"/>
          <w:szCs w:val="22"/>
        </w:rPr>
        <w:t xml:space="preserve">. In schedule-like access, </w:t>
      </w:r>
      <w:r w:rsidR="0080600C" w:rsidRPr="002758D3">
        <w:rPr>
          <w:sz w:val="22"/>
          <w:szCs w:val="22"/>
        </w:rPr>
        <w:t>the gNB schedules each UE to access the channel (similar to licensed access)</w:t>
      </w:r>
      <w:r w:rsidR="0080600C">
        <w:rPr>
          <w:sz w:val="22"/>
          <w:szCs w:val="22"/>
        </w:rPr>
        <w:t xml:space="preserve"> once it acquires the channel. In contention-based access, </w:t>
      </w:r>
      <w:r w:rsidRPr="002758D3">
        <w:rPr>
          <w:sz w:val="22"/>
          <w:szCs w:val="22"/>
        </w:rPr>
        <w:t>both</w:t>
      </w:r>
      <w:r w:rsidR="0080600C">
        <w:rPr>
          <w:sz w:val="22"/>
          <w:szCs w:val="22"/>
        </w:rPr>
        <w:t xml:space="preserve"> the</w:t>
      </w:r>
      <w:r w:rsidRPr="002758D3">
        <w:rPr>
          <w:sz w:val="22"/>
          <w:szCs w:val="22"/>
        </w:rPr>
        <w:t xml:space="preserve"> UE and </w:t>
      </w:r>
      <w:r w:rsidR="0080600C">
        <w:rPr>
          <w:sz w:val="22"/>
          <w:szCs w:val="22"/>
        </w:rPr>
        <w:t xml:space="preserve">the </w:t>
      </w:r>
      <w:r w:rsidRPr="002758D3">
        <w:rPr>
          <w:sz w:val="22"/>
          <w:szCs w:val="22"/>
        </w:rPr>
        <w:t>gNB contend for the channel</w:t>
      </w:r>
      <w:r w:rsidR="0080600C">
        <w:rPr>
          <w:sz w:val="22"/>
          <w:szCs w:val="22"/>
        </w:rPr>
        <w:t>.</w:t>
      </w:r>
      <w:r w:rsidRPr="002758D3">
        <w:rPr>
          <w:sz w:val="22"/>
          <w:szCs w:val="22"/>
        </w:rPr>
        <w:t xml:space="preserve"> </w:t>
      </w:r>
    </w:p>
    <w:p w14:paraId="7DDAE1A4" w14:textId="77777777" w:rsidR="0080600C" w:rsidRDefault="0080600C" w:rsidP="005C7D22">
      <w:pPr>
        <w:jc w:val="both"/>
        <w:rPr>
          <w:sz w:val="22"/>
          <w:szCs w:val="22"/>
        </w:rPr>
      </w:pPr>
    </w:p>
    <w:p w14:paraId="1125C837" w14:textId="77777777" w:rsidR="00652435" w:rsidRDefault="005C7D22" w:rsidP="005C7D22">
      <w:pPr>
        <w:jc w:val="both"/>
        <w:rPr>
          <w:sz w:val="22"/>
          <w:szCs w:val="22"/>
        </w:rPr>
      </w:pPr>
      <w:r>
        <w:rPr>
          <w:sz w:val="22"/>
          <w:szCs w:val="22"/>
        </w:rPr>
        <w:t>T</w:t>
      </w:r>
      <w:r w:rsidRPr="002758D3">
        <w:rPr>
          <w:sz w:val="22"/>
          <w:szCs w:val="22"/>
        </w:rPr>
        <w:t xml:space="preserve">he gNB contends for the channel and acquires the channel for a Channel Occupancy Time (COT) duration. </w:t>
      </w:r>
      <w:r>
        <w:rPr>
          <w:sz w:val="22"/>
          <w:szCs w:val="22"/>
        </w:rPr>
        <w:t xml:space="preserve">For DL data, the gNB goes through a CAT-4 LBT procedure ( i.e. LBT with random </w:t>
      </w:r>
      <w:r w:rsidR="00570639">
        <w:rPr>
          <w:sz w:val="22"/>
          <w:szCs w:val="22"/>
        </w:rPr>
        <w:t>back off</w:t>
      </w:r>
      <w:r>
        <w:rPr>
          <w:sz w:val="22"/>
          <w:szCs w:val="22"/>
        </w:rPr>
        <w:t xml:space="preserve"> and a variable sized contention window) with the channel access priority class selected according to the multiplexed data. </w:t>
      </w:r>
      <w:r w:rsidRPr="002758D3">
        <w:rPr>
          <w:sz w:val="22"/>
          <w:szCs w:val="22"/>
        </w:rPr>
        <w:t xml:space="preserve">Within the </w:t>
      </w:r>
      <w:r>
        <w:rPr>
          <w:sz w:val="22"/>
          <w:szCs w:val="22"/>
        </w:rPr>
        <w:t xml:space="preserve">gNB-initiated </w:t>
      </w:r>
      <w:r w:rsidRPr="002758D3">
        <w:rPr>
          <w:sz w:val="22"/>
          <w:szCs w:val="22"/>
        </w:rPr>
        <w:t xml:space="preserve">COT, the gNB may </w:t>
      </w:r>
      <w:r>
        <w:rPr>
          <w:sz w:val="22"/>
          <w:szCs w:val="22"/>
        </w:rPr>
        <w:t xml:space="preserve">not need to perform LBT (CAT-1 LBT) or may perform a limited CAT-2 LBT (LBT without random back-off) depending on the duration between the start of the DL transmission and the last uplink burst within the COT. </w:t>
      </w:r>
    </w:p>
    <w:p w14:paraId="20F18DC1" w14:textId="77777777" w:rsidR="00652435" w:rsidRDefault="00652435" w:rsidP="005C7D22">
      <w:pPr>
        <w:jc w:val="both"/>
        <w:rPr>
          <w:sz w:val="22"/>
          <w:szCs w:val="22"/>
        </w:rPr>
      </w:pPr>
    </w:p>
    <w:p w14:paraId="202FBDCF" w14:textId="4767A896" w:rsidR="0080600C" w:rsidRDefault="00652435" w:rsidP="005C7D22">
      <w:pPr>
        <w:jc w:val="both"/>
        <w:rPr>
          <w:sz w:val="22"/>
          <w:szCs w:val="22"/>
        </w:rPr>
      </w:pPr>
      <w:r>
        <w:rPr>
          <w:sz w:val="22"/>
          <w:szCs w:val="22"/>
        </w:rPr>
        <w:t xml:space="preserve">The UE contends for the channel in a UE-initiated COT, and it goes through a more elaborate CAT-4 LBT procedure. </w:t>
      </w:r>
      <w:r w:rsidR="005C7D22">
        <w:rPr>
          <w:sz w:val="22"/>
          <w:szCs w:val="22"/>
        </w:rPr>
        <w:t>For UL data transmission if the UE is in a gNB-initiated COT</w:t>
      </w:r>
      <w:r>
        <w:rPr>
          <w:sz w:val="22"/>
          <w:szCs w:val="22"/>
        </w:rPr>
        <w:t xml:space="preserve">, and </w:t>
      </w:r>
      <w:r w:rsidR="005C7D22">
        <w:rPr>
          <w:sz w:val="22"/>
          <w:szCs w:val="22"/>
        </w:rPr>
        <w:t xml:space="preserve">the gap between the DL gNB transmission and the UL UE transmission is not more than 16 </w:t>
      </w:r>
      <w:r w:rsidR="0080600C">
        <w:rPr>
          <w:sz w:val="22"/>
          <w:szCs w:val="22"/>
        </w:rPr>
        <w:t>u</w:t>
      </w:r>
      <w:r w:rsidR="005C7D22">
        <w:rPr>
          <w:sz w:val="22"/>
          <w:szCs w:val="22"/>
        </w:rPr>
        <w:t>sec, the UE may not need to perform an LBT</w:t>
      </w:r>
      <w:r w:rsidR="0080600C">
        <w:rPr>
          <w:sz w:val="22"/>
          <w:szCs w:val="22"/>
        </w:rPr>
        <w:t xml:space="preserve"> </w:t>
      </w:r>
      <w:r>
        <w:rPr>
          <w:sz w:val="22"/>
          <w:szCs w:val="22"/>
        </w:rPr>
        <w:t>(</w:t>
      </w:r>
      <w:r w:rsidR="0080600C">
        <w:rPr>
          <w:sz w:val="22"/>
          <w:szCs w:val="22"/>
        </w:rPr>
        <w:t>CAT</w:t>
      </w:r>
      <w:r>
        <w:rPr>
          <w:sz w:val="22"/>
          <w:szCs w:val="22"/>
        </w:rPr>
        <w:t>-1 LBT),</w:t>
      </w:r>
      <w:r w:rsidR="005C7D22">
        <w:rPr>
          <w:sz w:val="22"/>
          <w:szCs w:val="22"/>
        </w:rPr>
        <w:t xml:space="preserve"> essentially behaving as licensed traffic. It may perform CAT-2 LBT if the gap exceeds certain thresholds. </w:t>
      </w:r>
    </w:p>
    <w:p w14:paraId="021190D9" w14:textId="77777777" w:rsidR="0080600C" w:rsidRDefault="0080600C" w:rsidP="005C7D22">
      <w:pPr>
        <w:jc w:val="both"/>
        <w:rPr>
          <w:sz w:val="22"/>
          <w:szCs w:val="22"/>
        </w:rPr>
      </w:pPr>
    </w:p>
    <w:p w14:paraId="55B7D601" w14:textId="75650CB3" w:rsidR="005C7D22" w:rsidRDefault="005C7D22" w:rsidP="005C7D22">
      <w:pPr>
        <w:jc w:val="both"/>
        <w:rPr>
          <w:sz w:val="22"/>
          <w:szCs w:val="22"/>
        </w:rPr>
      </w:pPr>
      <w:r>
        <w:rPr>
          <w:sz w:val="22"/>
          <w:szCs w:val="22"/>
        </w:rPr>
        <w:t xml:space="preserve">Thus, we see that NR-U may perform LBT channel access or emulate licensed channel access depending on if the transmission is within a COT and </w:t>
      </w:r>
      <w:r w:rsidR="00652435">
        <w:rPr>
          <w:sz w:val="22"/>
          <w:szCs w:val="22"/>
        </w:rPr>
        <w:t xml:space="preserve">on </w:t>
      </w:r>
      <w:r>
        <w:rPr>
          <w:sz w:val="22"/>
          <w:szCs w:val="22"/>
        </w:rPr>
        <w:t xml:space="preserve">the interval between the transmissions. </w:t>
      </w:r>
    </w:p>
    <w:p w14:paraId="0899B91C" w14:textId="77777777" w:rsidR="005C7D22" w:rsidRDefault="005C7D22" w:rsidP="005C7D22">
      <w:pPr>
        <w:jc w:val="both"/>
        <w:rPr>
          <w:sz w:val="22"/>
          <w:szCs w:val="22"/>
        </w:rPr>
      </w:pPr>
    </w:p>
    <w:p w14:paraId="0C5F2B5C" w14:textId="40A515FB" w:rsidR="005C7D22" w:rsidRPr="002758D3" w:rsidRDefault="005C7D22" w:rsidP="005C7D22">
      <w:pPr>
        <w:jc w:val="both"/>
        <w:rPr>
          <w:sz w:val="22"/>
          <w:szCs w:val="22"/>
        </w:rPr>
      </w:pPr>
      <w:r w:rsidRPr="002758D3">
        <w:rPr>
          <w:sz w:val="22"/>
          <w:szCs w:val="22"/>
        </w:rPr>
        <w:t>Th</w:t>
      </w:r>
      <w:r>
        <w:rPr>
          <w:sz w:val="22"/>
          <w:szCs w:val="22"/>
        </w:rPr>
        <w:t>e LBT procedures defined</w:t>
      </w:r>
      <w:r w:rsidRPr="002758D3">
        <w:rPr>
          <w:sz w:val="22"/>
          <w:szCs w:val="22"/>
        </w:rPr>
        <w:t xml:space="preserve"> allow NR-U to coexist with other Radio Access Technologies and with other NR-U deployments in the unlicensed band below 52.6 GHz as a “friendly neighbor”, e.g. it should not impact other deployed Wi-Fi services more than an additional Wi-Fi network on the same carrier. LBT is an effective coexistence mechanism that, together with appropriate back-off configuration, allows different devices and RATs to share the usage of the spectrum in TDM fashion.  </w:t>
      </w:r>
    </w:p>
    <w:p w14:paraId="725D44D3" w14:textId="184907D7" w:rsidR="005C7D22" w:rsidRDefault="005C7D22" w:rsidP="00DB340F">
      <w:pPr>
        <w:pStyle w:val="0Maintext"/>
        <w:spacing w:line="240" w:lineRule="auto"/>
        <w:ind w:firstLine="0"/>
        <w:rPr>
          <w:sz w:val="22"/>
          <w:szCs w:val="22"/>
        </w:rPr>
      </w:pPr>
    </w:p>
    <w:p w14:paraId="44BE8BC9" w14:textId="3235C3AB" w:rsidR="00652435" w:rsidRDefault="00652435" w:rsidP="00652435">
      <w:pPr>
        <w:pStyle w:val="Heading2"/>
      </w:pPr>
      <w:r>
        <w:t>Unlicensed Channel Access between 52.6 GHz and 71 GHz</w:t>
      </w:r>
    </w:p>
    <w:p w14:paraId="1B8B9E8D" w14:textId="7DBCBB04" w:rsidR="00056CD3" w:rsidRDefault="006B5C14" w:rsidP="00DB340F">
      <w:pPr>
        <w:pStyle w:val="0Maintext"/>
        <w:spacing w:line="240" w:lineRule="auto"/>
        <w:ind w:firstLine="0"/>
        <w:rPr>
          <w:sz w:val="22"/>
          <w:szCs w:val="22"/>
        </w:rPr>
      </w:pPr>
      <w:r w:rsidRPr="00DB340F">
        <w:rPr>
          <w:sz w:val="22"/>
          <w:szCs w:val="22"/>
        </w:rPr>
        <w:t>In NR transmission between 52.6 GHz and 71 GHz, l</w:t>
      </w:r>
      <w:r w:rsidR="00056CD3" w:rsidRPr="00DB340F">
        <w:rPr>
          <w:sz w:val="22"/>
          <w:szCs w:val="22"/>
        </w:rPr>
        <w:t>arger propagation loss and penetration losses</w:t>
      </w:r>
      <w:r w:rsidRPr="00DB340F">
        <w:rPr>
          <w:sz w:val="22"/>
          <w:szCs w:val="22"/>
        </w:rPr>
        <w:t xml:space="preserve"> are expected</w:t>
      </w:r>
      <w:r w:rsidR="00ED23BE">
        <w:rPr>
          <w:sz w:val="22"/>
          <w:szCs w:val="22"/>
        </w:rPr>
        <w:t xml:space="preserve"> as p</w:t>
      </w:r>
      <w:r w:rsidR="00056CD3">
        <w:rPr>
          <w:sz w:val="22"/>
          <w:szCs w:val="22"/>
        </w:rPr>
        <w:t xml:space="preserve">ropagation loss and penetration losses increase with increasing frequency </w:t>
      </w:r>
      <w:r w:rsidR="00EB7A24">
        <w:rPr>
          <w:sz w:val="22"/>
          <w:szCs w:val="22"/>
        </w:rPr>
        <w:fldChar w:fldCharType="begin"/>
      </w:r>
      <w:r w:rsidR="00EB7A24">
        <w:rPr>
          <w:sz w:val="22"/>
          <w:szCs w:val="22"/>
        </w:rPr>
        <w:instrText xml:space="preserve"> REF _Ref47613100 \r \h </w:instrText>
      </w:r>
      <w:r w:rsidR="00EB7A24">
        <w:rPr>
          <w:sz w:val="22"/>
          <w:szCs w:val="22"/>
        </w:rPr>
      </w:r>
      <w:r w:rsidR="00EB7A24">
        <w:rPr>
          <w:sz w:val="22"/>
          <w:szCs w:val="22"/>
        </w:rPr>
        <w:fldChar w:fldCharType="separate"/>
      </w:r>
      <w:r w:rsidR="006B3305">
        <w:rPr>
          <w:sz w:val="22"/>
          <w:szCs w:val="22"/>
        </w:rPr>
        <w:t>[4]</w:t>
      </w:r>
      <w:r w:rsidR="00EB7A24">
        <w:rPr>
          <w:sz w:val="22"/>
          <w:szCs w:val="22"/>
        </w:rPr>
        <w:fldChar w:fldCharType="end"/>
      </w:r>
      <w:r w:rsidR="00056CD3">
        <w:rPr>
          <w:sz w:val="22"/>
          <w:szCs w:val="22"/>
        </w:rPr>
        <w:t xml:space="preserve">. </w:t>
      </w:r>
      <w:r w:rsidR="00056CD3" w:rsidRPr="00AB371D">
        <w:rPr>
          <w:sz w:val="22"/>
          <w:szCs w:val="22"/>
        </w:rPr>
        <w:t xml:space="preserve">These </w:t>
      </w:r>
      <w:r w:rsidR="00056CD3">
        <w:rPr>
          <w:sz w:val="22"/>
          <w:szCs w:val="22"/>
        </w:rPr>
        <w:t xml:space="preserve">losses </w:t>
      </w:r>
      <w:r w:rsidR="00056CD3" w:rsidRPr="00AB371D">
        <w:rPr>
          <w:sz w:val="22"/>
          <w:szCs w:val="22"/>
        </w:rPr>
        <w:t xml:space="preserve">are mitigated by  </w:t>
      </w:r>
      <w:r w:rsidR="00BD0525" w:rsidRPr="00AB371D">
        <w:rPr>
          <w:sz w:val="22"/>
          <w:szCs w:val="22"/>
        </w:rPr>
        <w:t>analogue</w:t>
      </w:r>
      <w:r w:rsidR="00BD0525">
        <w:rPr>
          <w:sz w:val="22"/>
          <w:szCs w:val="22"/>
        </w:rPr>
        <w:t xml:space="preserve">, </w:t>
      </w:r>
      <w:r w:rsidR="00056CD3" w:rsidRPr="00AB371D">
        <w:rPr>
          <w:sz w:val="22"/>
          <w:szCs w:val="22"/>
        </w:rPr>
        <w:t xml:space="preserve">digital </w:t>
      </w:r>
      <w:r w:rsidR="00BD0525">
        <w:rPr>
          <w:sz w:val="22"/>
          <w:szCs w:val="22"/>
        </w:rPr>
        <w:t xml:space="preserve">or hybrid </w:t>
      </w:r>
      <w:r w:rsidR="00056CD3" w:rsidRPr="00AB371D">
        <w:rPr>
          <w:sz w:val="22"/>
          <w:szCs w:val="22"/>
        </w:rPr>
        <w:t xml:space="preserve">beam forming. The small wavelengths at these frequencies facilitate the use of antennas with a large number of elements and result in a large number of beams with small beam widths. </w:t>
      </w:r>
      <w:r w:rsidR="00056CD3" w:rsidRPr="00E76928">
        <w:rPr>
          <w:sz w:val="22"/>
          <w:szCs w:val="22"/>
        </w:rPr>
        <w:t xml:space="preserve">This may require enhanced </w:t>
      </w:r>
      <w:r w:rsidR="00056CD3">
        <w:rPr>
          <w:sz w:val="22"/>
          <w:szCs w:val="22"/>
        </w:rPr>
        <w:t>channel access procedures due to the directionality of the</w:t>
      </w:r>
      <w:r w:rsidR="00ED23BE">
        <w:rPr>
          <w:sz w:val="22"/>
          <w:szCs w:val="22"/>
        </w:rPr>
        <w:t xml:space="preserve"> transmissions, the directionality of the</w:t>
      </w:r>
      <w:r w:rsidR="00056CD3">
        <w:rPr>
          <w:sz w:val="22"/>
          <w:szCs w:val="22"/>
        </w:rPr>
        <w:t xml:space="preserve"> interference and the fact that the interference at the receiver may not be inferred from the transmitter. </w:t>
      </w:r>
      <w:r w:rsidR="00056CD3" w:rsidRPr="00E76928">
        <w:rPr>
          <w:sz w:val="22"/>
          <w:szCs w:val="22"/>
        </w:rPr>
        <w:t xml:space="preserve"> </w:t>
      </w:r>
    </w:p>
    <w:p w14:paraId="564E457D" w14:textId="38CA016E" w:rsidR="00056CD3" w:rsidRDefault="005C7D22" w:rsidP="00DB340F">
      <w:pPr>
        <w:pStyle w:val="0Maintext"/>
        <w:spacing w:line="240" w:lineRule="auto"/>
        <w:ind w:firstLine="0"/>
        <w:rPr>
          <w:sz w:val="22"/>
          <w:szCs w:val="22"/>
        </w:rPr>
      </w:pPr>
      <w:r>
        <w:rPr>
          <w:sz w:val="22"/>
          <w:szCs w:val="22"/>
        </w:rPr>
        <w:t>In addition,</w:t>
      </w:r>
      <w:r w:rsidR="00C27AE7">
        <w:rPr>
          <w:b/>
          <w:bCs/>
          <w:sz w:val="22"/>
          <w:szCs w:val="22"/>
        </w:rPr>
        <w:t xml:space="preserve"> t</w:t>
      </w:r>
      <w:r w:rsidR="00056CD3" w:rsidRPr="00AB371D">
        <w:rPr>
          <w:sz w:val="22"/>
          <w:szCs w:val="22"/>
        </w:rPr>
        <w:t xml:space="preserve">he large amount of spectrum available at these frequencies results in large channel allocation bandwidths of 2.16 GHz for existing </w:t>
      </w:r>
      <w:r w:rsidR="00056CD3">
        <w:rPr>
          <w:sz w:val="22"/>
          <w:szCs w:val="22"/>
        </w:rPr>
        <w:t>Radio Access Technologies (RATs)</w:t>
      </w:r>
      <w:r w:rsidR="00056CD3" w:rsidRPr="00AB371D">
        <w:rPr>
          <w:sz w:val="22"/>
          <w:szCs w:val="22"/>
        </w:rPr>
        <w:t xml:space="preserve"> in the unlicensed bands in these frequencies</w:t>
      </w:r>
      <w:r w:rsidR="00056CD3">
        <w:rPr>
          <w:sz w:val="22"/>
          <w:szCs w:val="22"/>
        </w:rPr>
        <w:t>. These RATs</w:t>
      </w:r>
      <w:r w:rsidR="00056CD3" w:rsidRPr="00AB371D">
        <w:rPr>
          <w:sz w:val="22"/>
          <w:szCs w:val="22"/>
        </w:rPr>
        <w:t xml:space="preserve">  includ</w:t>
      </w:r>
      <w:r w:rsidR="00056CD3">
        <w:rPr>
          <w:sz w:val="22"/>
          <w:szCs w:val="22"/>
        </w:rPr>
        <w:t>e</w:t>
      </w:r>
      <w:r w:rsidR="00056CD3" w:rsidRPr="00AB371D">
        <w:rPr>
          <w:sz w:val="22"/>
          <w:szCs w:val="22"/>
        </w:rPr>
        <w:t xml:space="preserve"> IEEE 802.15.3c, WirelessHD, IEEE 802.11ad and IEEE 802.11ay. Utilizing the available spectrum and enabling coexistence with existing RATs may require an increase in the bandwidths supported to larger than  </w:t>
      </w:r>
      <w:r w:rsidR="00056CD3">
        <w:rPr>
          <w:sz w:val="22"/>
          <w:szCs w:val="22"/>
        </w:rPr>
        <w:t xml:space="preserve">the </w:t>
      </w:r>
      <w:r w:rsidR="00056CD3" w:rsidRPr="00AB371D">
        <w:rPr>
          <w:sz w:val="22"/>
          <w:szCs w:val="22"/>
        </w:rPr>
        <w:t xml:space="preserve">400 MHz </w:t>
      </w:r>
      <w:r w:rsidR="00056CD3">
        <w:rPr>
          <w:sz w:val="22"/>
          <w:szCs w:val="22"/>
        </w:rPr>
        <w:t xml:space="preserve">for data transmission </w:t>
      </w:r>
      <w:r w:rsidR="00056CD3" w:rsidRPr="00AB371D">
        <w:rPr>
          <w:sz w:val="22"/>
          <w:szCs w:val="22"/>
        </w:rPr>
        <w:t>currently supported by NR Rel-15/Rel-16</w:t>
      </w:r>
      <w:r w:rsidR="00056CD3">
        <w:rPr>
          <w:sz w:val="22"/>
          <w:szCs w:val="22"/>
        </w:rPr>
        <w:t xml:space="preserve"> in FR2 </w:t>
      </w:r>
      <w:r w:rsidR="00056CD3">
        <w:rPr>
          <w:sz w:val="22"/>
          <w:szCs w:val="22"/>
        </w:rPr>
        <w:fldChar w:fldCharType="begin"/>
      </w:r>
      <w:r w:rsidR="00056CD3">
        <w:rPr>
          <w:sz w:val="22"/>
          <w:szCs w:val="22"/>
        </w:rPr>
        <w:instrText xml:space="preserve"> REF _Ref40443455 \r \h </w:instrText>
      </w:r>
      <w:r w:rsidR="00056CD3">
        <w:rPr>
          <w:sz w:val="22"/>
          <w:szCs w:val="22"/>
        </w:rPr>
      </w:r>
      <w:r w:rsidR="00056CD3">
        <w:rPr>
          <w:sz w:val="22"/>
          <w:szCs w:val="22"/>
        </w:rPr>
        <w:fldChar w:fldCharType="separate"/>
      </w:r>
      <w:r w:rsidR="006B3305">
        <w:rPr>
          <w:sz w:val="22"/>
          <w:szCs w:val="22"/>
        </w:rPr>
        <w:t>[8]</w:t>
      </w:r>
      <w:r w:rsidR="00056CD3">
        <w:rPr>
          <w:sz w:val="22"/>
          <w:szCs w:val="22"/>
        </w:rPr>
        <w:fldChar w:fldCharType="end"/>
      </w:r>
      <w:r w:rsidR="00056CD3" w:rsidRPr="00EF1E3D">
        <w:rPr>
          <w:sz w:val="22"/>
          <w:szCs w:val="22"/>
        </w:rPr>
        <w:t xml:space="preserve">. The LBT mechanisms used may have to be modified </w:t>
      </w:r>
      <w:r w:rsidR="00056CD3">
        <w:rPr>
          <w:sz w:val="22"/>
          <w:szCs w:val="22"/>
        </w:rPr>
        <w:t xml:space="preserve">when compared with NR-U and below 52.6 GHz unlicensed transmission (e.g. NR-U, LAA) </w:t>
      </w:r>
      <w:r w:rsidR="00056CD3" w:rsidRPr="00EF1E3D">
        <w:rPr>
          <w:sz w:val="22"/>
          <w:szCs w:val="22"/>
        </w:rPr>
        <w:t>to account for the increase in bandwidths</w:t>
      </w:r>
      <w:r w:rsidR="00056CD3">
        <w:rPr>
          <w:sz w:val="22"/>
          <w:szCs w:val="22"/>
        </w:rPr>
        <w:t xml:space="preserve"> and the decrease in symbol durations due to increases in subcarrier spacing e.g. a modification in the slot access time</w:t>
      </w:r>
      <w:r w:rsidR="00056CD3" w:rsidRPr="00EF1E3D">
        <w:rPr>
          <w:sz w:val="22"/>
          <w:szCs w:val="22"/>
        </w:rPr>
        <w:t xml:space="preserve">. </w:t>
      </w:r>
      <w:r w:rsidR="00C27AE7">
        <w:rPr>
          <w:sz w:val="22"/>
          <w:szCs w:val="22"/>
        </w:rPr>
        <w:t xml:space="preserve">Note that if no-LBT channel access is used, the LBT co-existence discussion is not needed. </w:t>
      </w:r>
    </w:p>
    <w:p w14:paraId="4E84A7DC" w14:textId="77777777" w:rsidR="00A20DBA" w:rsidRPr="006764AB" w:rsidRDefault="00A20DBA" w:rsidP="00DB340F">
      <w:pPr>
        <w:pStyle w:val="0Maintext"/>
        <w:spacing w:line="240" w:lineRule="auto"/>
        <w:ind w:firstLine="0"/>
        <w:rPr>
          <w:rFonts w:eastAsia="Batang"/>
          <w:iCs/>
          <w:color w:val="000000"/>
          <w:kern w:val="2"/>
          <w:sz w:val="22"/>
          <w:szCs w:val="22"/>
        </w:rPr>
      </w:pPr>
    </w:p>
    <w:p w14:paraId="13CCA414" w14:textId="77777777" w:rsidR="00056CD3" w:rsidRDefault="00056CD3" w:rsidP="00056CD3">
      <w:pPr>
        <w:jc w:val="both"/>
        <w:rPr>
          <w:rFonts w:cs="Batang"/>
          <w:b/>
          <w:bCs/>
          <w:i/>
          <w:iCs/>
          <w:sz w:val="22"/>
          <w:szCs w:val="22"/>
          <w:lang w:val="en-GB" w:eastAsia="en-US"/>
        </w:rPr>
      </w:pPr>
    </w:p>
    <w:p w14:paraId="2CBF5AAC" w14:textId="5904CDC6" w:rsidR="00056CD3" w:rsidRPr="00BD0525" w:rsidRDefault="00056CD3" w:rsidP="00056CD3">
      <w:pPr>
        <w:jc w:val="both"/>
        <w:rPr>
          <w:rFonts w:cs="Batang"/>
          <w:i/>
          <w:iCs/>
          <w:sz w:val="22"/>
          <w:szCs w:val="22"/>
          <w:lang w:val="en-GB" w:eastAsia="en-US"/>
        </w:rPr>
      </w:pPr>
      <w:r w:rsidRPr="00BD0525">
        <w:rPr>
          <w:rFonts w:cs="Batang"/>
          <w:b/>
          <w:bCs/>
          <w:i/>
          <w:iCs/>
          <w:sz w:val="22"/>
          <w:szCs w:val="22"/>
          <w:lang w:val="en-GB" w:eastAsia="en-US"/>
        </w:rPr>
        <w:t xml:space="preserve">Observation </w:t>
      </w:r>
      <w:r w:rsidR="00BD0525" w:rsidRPr="00BD0525">
        <w:rPr>
          <w:rFonts w:cs="Batang"/>
          <w:b/>
          <w:bCs/>
          <w:i/>
          <w:iCs/>
          <w:sz w:val="22"/>
          <w:szCs w:val="22"/>
          <w:lang w:val="en-GB" w:eastAsia="en-US"/>
        </w:rPr>
        <w:t>1</w:t>
      </w:r>
      <w:r w:rsidRPr="00BD0525">
        <w:rPr>
          <w:rFonts w:cs="Batang"/>
          <w:b/>
          <w:bCs/>
          <w:i/>
          <w:iCs/>
          <w:sz w:val="22"/>
          <w:szCs w:val="22"/>
          <w:lang w:val="en-GB" w:eastAsia="en-US"/>
        </w:rPr>
        <w:t>:</w:t>
      </w:r>
      <w:r w:rsidRPr="00BD0525">
        <w:rPr>
          <w:rFonts w:cs="Batang"/>
          <w:i/>
          <w:iCs/>
          <w:sz w:val="22"/>
          <w:szCs w:val="22"/>
          <w:lang w:val="en-GB" w:eastAsia="en-US"/>
        </w:rPr>
        <w:t xml:space="preserve"> The large propagation losses in the 60 GHz range mandate the need for beam-based transmission</w:t>
      </w:r>
      <w:r w:rsidR="00C27AE7" w:rsidRPr="00BD0525">
        <w:rPr>
          <w:rFonts w:cs="Batang"/>
          <w:i/>
          <w:iCs/>
          <w:sz w:val="22"/>
          <w:szCs w:val="22"/>
          <w:lang w:val="en-GB" w:eastAsia="en-US"/>
        </w:rPr>
        <w:t xml:space="preserve"> and the</w:t>
      </w:r>
      <w:r w:rsidRPr="00BD0525">
        <w:rPr>
          <w:rFonts w:cs="Batang"/>
          <w:i/>
          <w:iCs/>
          <w:sz w:val="22"/>
          <w:szCs w:val="22"/>
          <w:lang w:val="en-GB" w:eastAsia="en-US"/>
        </w:rPr>
        <w:t xml:space="preserve"> need for LBT schemes</w:t>
      </w:r>
      <w:r w:rsidR="00652435" w:rsidRPr="00BD0525">
        <w:rPr>
          <w:rFonts w:cs="Batang"/>
          <w:i/>
          <w:iCs/>
          <w:sz w:val="22"/>
          <w:szCs w:val="22"/>
          <w:lang w:val="en-GB" w:eastAsia="en-US"/>
        </w:rPr>
        <w:t xml:space="preserve"> that account for these beams</w:t>
      </w:r>
      <w:r w:rsidRPr="00BD0525">
        <w:rPr>
          <w:rFonts w:cs="Batang"/>
          <w:i/>
          <w:iCs/>
          <w:sz w:val="22"/>
          <w:szCs w:val="22"/>
          <w:lang w:val="en-GB" w:eastAsia="en-US"/>
        </w:rPr>
        <w:t>.</w:t>
      </w:r>
    </w:p>
    <w:p w14:paraId="0FFE464E" w14:textId="77777777" w:rsidR="00C27AE7" w:rsidRPr="00BD0525" w:rsidRDefault="00C27AE7" w:rsidP="00056CD3">
      <w:pPr>
        <w:jc w:val="both"/>
        <w:rPr>
          <w:rFonts w:cs="Batang"/>
          <w:i/>
          <w:iCs/>
          <w:sz w:val="22"/>
          <w:szCs w:val="22"/>
          <w:lang w:val="en-GB" w:eastAsia="en-US"/>
        </w:rPr>
      </w:pPr>
    </w:p>
    <w:p w14:paraId="405098CB" w14:textId="26AC88FF" w:rsidR="00C27AE7" w:rsidRDefault="00C27AE7" w:rsidP="00C27AE7">
      <w:pPr>
        <w:jc w:val="both"/>
        <w:rPr>
          <w:rFonts w:cs="Batang"/>
          <w:i/>
          <w:iCs/>
          <w:sz w:val="22"/>
          <w:szCs w:val="22"/>
          <w:lang w:val="en-GB" w:eastAsia="en-US"/>
        </w:rPr>
      </w:pPr>
      <w:r w:rsidRPr="00BD0525">
        <w:rPr>
          <w:rFonts w:cs="Batang"/>
          <w:b/>
          <w:bCs/>
          <w:i/>
          <w:iCs/>
          <w:sz w:val="22"/>
          <w:szCs w:val="22"/>
          <w:lang w:val="en-GB" w:eastAsia="en-US"/>
        </w:rPr>
        <w:t xml:space="preserve">Observation </w:t>
      </w:r>
      <w:r w:rsidR="00BD0525" w:rsidRPr="00BD0525">
        <w:rPr>
          <w:rFonts w:cs="Batang"/>
          <w:b/>
          <w:bCs/>
          <w:i/>
          <w:iCs/>
          <w:sz w:val="22"/>
          <w:szCs w:val="22"/>
          <w:lang w:val="en-GB" w:eastAsia="en-US"/>
        </w:rPr>
        <w:t>2</w:t>
      </w:r>
      <w:r w:rsidRPr="00BD0525">
        <w:rPr>
          <w:rFonts w:cs="Batang"/>
          <w:b/>
          <w:bCs/>
          <w:i/>
          <w:iCs/>
          <w:sz w:val="22"/>
          <w:szCs w:val="22"/>
          <w:lang w:val="en-GB" w:eastAsia="en-US"/>
        </w:rPr>
        <w:t>:</w:t>
      </w:r>
      <w:r w:rsidRPr="00BD0525">
        <w:rPr>
          <w:rFonts w:cs="Batang"/>
          <w:i/>
          <w:iCs/>
          <w:sz w:val="22"/>
          <w:szCs w:val="22"/>
          <w:lang w:val="en-GB" w:eastAsia="en-US"/>
        </w:rPr>
        <w:t xml:space="preserve"> The possibility of an </w:t>
      </w:r>
      <w:r w:rsidR="00A2030C">
        <w:rPr>
          <w:rFonts w:cs="Batang"/>
          <w:i/>
          <w:iCs/>
          <w:sz w:val="22"/>
          <w:szCs w:val="22"/>
          <w:lang w:val="en-GB" w:eastAsia="en-US"/>
        </w:rPr>
        <w:t>CCA measurement</w:t>
      </w:r>
      <w:r w:rsidRPr="00BD0525">
        <w:rPr>
          <w:rFonts w:cs="Batang"/>
          <w:i/>
          <w:iCs/>
          <w:sz w:val="22"/>
          <w:szCs w:val="22"/>
          <w:lang w:val="en-GB" w:eastAsia="en-US"/>
        </w:rPr>
        <w:t xml:space="preserve"> bandwidth that is larger than the transmission bandwidth may require a change to the basic LBT mechanism.</w:t>
      </w:r>
      <w:r>
        <w:rPr>
          <w:rFonts w:cs="Batang"/>
          <w:i/>
          <w:iCs/>
          <w:sz w:val="22"/>
          <w:szCs w:val="22"/>
          <w:lang w:val="en-GB" w:eastAsia="en-US"/>
        </w:rPr>
        <w:t xml:space="preserve">                                   .</w:t>
      </w:r>
    </w:p>
    <w:p w14:paraId="581F3567" w14:textId="77777777" w:rsidR="00C27AE7" w:rsidRDefault="00C27AE7" w:rsidP="00056CD3">
      <w:pPr>
        <w:jc w:val="both"/>
        <w:rPr>
          <w:rFonts w:cs="Batang"/>
          <w:i/>
          <w:iCs/>
          <w:sz w:val="22"/>
          <w:szCs w:val="22"/>
          <w:lang w:val="en-GB" w:eastAsia="en-US"/>
        </w:rPr>
      </w:pPr>
    </w:p>
    <w:p w14:paraId="70E5D2B7" w14:textId="26D5117D" w:rsidR="00EB7A24" w:rsidRDefault="00EB7A24" w:rsidP="00EB7A24">
      <w:pPr>
        <w:pStyle w:val="Heading2"/>
      </w:pPr>
      <w:r>
        <w:t>Alignment with 802.11ad/ay Channels of 2.16 GHz BW</w:t>
      </w:r>
    </w:p>
    <w:p w14:paraId="7CFFC535" w14:textId="0F40F79E" w:rsidR="00EB7A24" w:rsidRDefault="00EB7A24" w:rsidP="00EB7A24">
      <w:pPr>
        <w:jc w:val="both"/>
        <w:rPr>
          <w:sz w:val="22"/>
          <w:szCs w:val="22"/>
        </w:rPr>
      </w:pPr>
      <w:r>
        <w:rPr>
          <w:sz w:val="22"/>
          <w:szCs w:val="22"/>
        </w:rPr>
        <w:t xml:space="preserve">In RAN1 #102-e, there were discussions on </w:t>
      </w:r>
      <w:r w:rsidRPr="00EB7A24">
        <w:rPr>
          <w:sz w:val="22"/>
          <w:szCs w:val="22"/>
        </w:rPr>
        <w:t xml:space="preserve">if </w:t>
      </w:r>
      <w:r w:rsidR="00ED23BE">
        <w:rPr>
          <w:sz w:val="22"/>
          <w:szCs w:val="22"/>
        </w:rPr>
        <w:t xml:space="preserve">there was a </w:t>
      </w:r>
      <w:r w:rsidRPr="00EB7A24">
        <w:rPr>
          <w:sz w:val="22"/>
          <w:szCs w:val="22"/>
        </w:rPr>
        <w:t xml:space="preserve"> need to at least support one mode that aligns with or</w:t>
      </w:r>
      <w:r w:rsidR="00ED23BE">
        <w:rPr>
          <w:sz w:val="22"/>
          <w:szCs w:val="22"/>
        </w:rPr>
        <w:t xml:space="preserve"> is</w:t>
      </w:r>
      <w:r w:rsidRPr="00EB7A24">
        <w:rPr>
          <w:sz w:val="22"/>
          <w:szCs w:val="22"/>
        </w:rPr>
        <w:t xml:space="preserve"> comparable WiFi 11ad channels of 2.16GHz bandwidth</w:t>
      </w:r>
      <w:r>
        <w:rPr>
          <w:sz w:val="22"/>
          <w:szCs w:val="22"/>
        </w:rPr>
        <w:t xml:space="preserve"> and no consensus was reached. We discuss this issue in the following sub-section.</w:t>
      </w:r>
    </w:p>
    <w:p w14:paraId="697F3B18" w14:textId="77777777" w:rsidR="00EB7A24" w:rsidRDefault="00EB7A24" w:rsidP="00BB421A">
      <w:pPr>
        <w:jc w:val="both"/>
        <w:rPr>
          <w:sz w:val="22"/>
          <w:szCs w:val="22"/>
        </w:rPr>
      </w:pPr>
    </w:p>
    <w:p w14:paraId="01BE56BD" w14:textId="498C5025" w:rsidR="00EB7A24" w:rsidRDefault="00ED23BE" w:rsidP="00BB421A">
      <w:pPr>
        <w:jc w:val="both"/>
        <w:rPr>
          <w:sz w:val="22"/>
          <w:szCs w:val="22"/>
        </w:rPr>
      </w:pPr>
      <w:r>
        <w:rPr>
          <w:sz w:val="22"/>
          <w:szCs w:val="22"/>
        </w:rPr>
        <w:t>To facilitate this discussion, w</w:t>
      </w:r>
      <w:r w:rsidR="00A215CB">
        <w:rPr>
          <w:sz w:val="22"/>
          <w:szCs w:val="22"/>
        </w:rPr>
        <w:t xml:space="preserve">e will define three types of BW. The </w:t>
      </w:r>
      <w:r w:rsidR="00A215CB" w:rsidRPr="00A2030C">
        <w:rPr>
          <w:b/>
          <w:bCs/>
          <w:sz w:val="22"/>
          <w:szCs w:val="22"/>
        </w:rPr>
        <w:t>operating channel BW</w:t>
      </w:r>
      <w:r w:rsidR="00EF357E">
        <w:rPr>
          <w:b/>
          <w:bCs/>
          <w:sz w:val="22"/>
          <w:szCs w:val="22"/>
        </w:rPr>
        <w:t>/system BW</w:t>
      </w:r>
      <w:r w:rsidR="00A215CB">
        <w:rPr>
          <w:sz w:val="22"/>
          <w:szCs w:val="22"/>
        </w:rPr>
        <w:t xml:space="preserve"> is the </w:t>
      </w:r>
      <w:r w:rsidR="00A2030C">
        <w:rPr>
          <w:sz w:val="22"/>
          <w:szCs w:val="22"/>
        </w:rPr>
        <w:t xml:space="preserve">bandwidth over which the UE transmits its signal. </w:t>
      </w:r>
      <w:r w:rsidR="00A215CB">
        <w:rPr>
          <w:sz w:val="22"/>
          <w:szCs w:val="22"/>
        </w:rPr>
        <w:t xml:space="preserve">The </w:t>
      </w:r>
      <w:r w:rsidR="00A215CB" w:rsidRPr="00A2030C">
        <w:rPr>
          <w:b/>
          <w:bCs/>
          <w:sz w:val="22"/>
          <w:szCs w:val="22"/>
        </w:rPr>
        <w:t>nominal channel BW</w:t>
      </w:r>
      <w:r w:rsidR="00A215CB">
        <w:rPr>
          <w:sz w:val="22"/>
          <w:szCs w:val="22"/>
        </w:rPr>
        <w:t xml:space="preserve"> is the </w:t>
      </w:r>
      <w:r w:rsidR="00A2030C">
        <w:rPr>
          <w:sz w:val="22"/>
          <w:szCs w:val="22"/>
        </w:rPr>
        <w:t>bandwidth over which a CCA needs to be performed</w:t>
      </w:r>
      <w:r>
        <w:rPr>
          <w:sz w:val="22"/>
          <w:szCs w:val="22"/>
        </w:rPr>
        <w:t xml:space="preserve"> for co-existence</w:t>
      </w:r>
      <w:r w:rsidR="00A2030C">
        <w:rPr>
          <w:sz w:val="22"/>
          <w:szCs w:val="22"/>
        </w:rPr>
        <w:t xml:space="preserve">. The </w:t>
      </w:r>
      <w:r w:rsidR="00A2030C" w:rsidRPr="00A2030C">
        <w:rPr>
          <w:b/>
          <w:bCs/>
          <w:sz w:val="22"/>
          <w:szCs w:val="22"/>
        </w:rPr>
        <w:t>CCA BW</w:t>
      </w:r>
      <w:r w:rsidR="00A2030C">
        <w:rPr>
          <w:sz w:val="22"/>
          <w:szCs w:val="22"/>
        </w:rPr>
        <w:t xml:space="preserve"> is the bandwidth over which the UE performs the CCA. </w:t>
      </w:r>
    </w:p>
    <w:p w14:paraId="3C0EC529" w14:textId="77777777" w:rsidR="00A2030C" w:rsidRDefault="00A2030C" w:rsidP="00BB421A">
      <w:pPr>
        <w:jc w:val="both"/>
        <w:rPr>
          <w:sz w:val="22"/>
          <w:szCs w:val="22"/>
        </w:rPr>
      </w:pPr>
    </w:p>
    <w:p w14:paraId="2B50A51D" w14:textId="45F78918" w:rsidR="00BB421A" w:rsidRDefault="00085500" w:rsidP="00BB421A">
      <w:pPr>
        <w:jc w:val="both"/>
        <w:rPr>
          <w:sz w:val="22"/>
          <w:szCs w:val="22"/>
        </w:rPr>
      </w:pPr>
      <w:r>
        <w:rPr>
          <w:sz w:val="22"/>
          <w:szCs w:val="22"/>
        </w:rPr>
        <w:t xml:space="preserve">In the 5GHz </w:t>
      </w:r>
      <w:r w:rsidR="00BB421A">
        <w:rPr>
          <w:sz w:val="22"/>
          <w:szCs w:val="22"/>
        </w:rPr>
        <w:t xml:space="preserve">unlicensed </w:t>
      </w:r>
      <w:r>
        <w:rPr>
          <w:sz w:val="22"/>
          <w:szCs w:val="22"/>
        </w:rPr>
        <w:t>frequency band, it is explicitly stated</w:t>
      </w:r>
      <w:r w:rsidR="00BB421A">
        <w:rPr>
          <w:sz w:val="22"/>
          <w:szCs w:val="22"/>
        </w:rPr>
        <w:t xml:space="preserve"> by ETSI</w:t>
      </w:r>
      <w:r>
        <w:rPr>
          <w:sz w:val="22"/>
          <w:szCs w:val="22"/>
        </w:rPr>
        <w:t xml:space="preserve"> that “</w:t>
      </w:r>
      <w:r w:rsidR="00BB421A" w:rsidRPr="00BB421A">
        <w:rPr>
          <w:sz w:val="22"/>
          <w:szCs w:val="22"/>
        </w:rPr>
        <w:t xml:space="preserve">Equipment may have simultaneous transmissions on more than one </w:t>
      </w:r>
      <w:r w:rsidR="000E01F4">
        <w:rPr>
          <w:sz w:val="22"/>
          <w:szCs w:val="22"/>
        </w:rPr>
        <w:t>o</w:t>
      </w:r>
      <w:r w:rsidR="00BB421A" w:rsidRPr="00BB421A">
        <w:rPr>
          <w:sz w:val="22"/>
          <w:szCs w:val="22"/>
        </w:rPr>
        <w:t xml:space="preserve">perating </w:t>
      </w:r>
      <w:r w:rsidR="000E01F4">
        <w:rPr>
          <w:sz w:val="22"/>
          <w:szCs w:val="22"/>
        </w:rPr>
        <w:t>c</w:t>
      </w:r>
      <w:r w:rsidR="00BB421A" w:rsidRPr="00BB421A">
        <w:rPr>
          <w:sz w:val="22"/>
          <w:szCs w:val="22"/>
        </w:rPr>
        <w:t xml:space="preserve">hannel with a </w:t>
      </w:r>
      <w:r w:rsidR="00BB421A" w:rsidRPr="00ED23BE">
        <w:rPr>
          <w:b/>
          <w:bCs/>
          <w:sz w:val="22"/>
          <w:szCs w:val="22"/>
        </w:rPr>
        <w:t>Nominal Channel Bandwidth of 20 MHz</w:t>
      </w:r>
      <w:r>
        <w:rPr>
          <w:sz w:val="22"/>
          <w:szCs w:val="22"/>
        </w:rPr>
        <w:t>”</w:t>
      </w:r>
      <w:r w:rsidR="00BB421A">
        <w:rPr>
          <w:sz w:val="22"/>
          <w:szCs w:val="22"/>
        </w:rPr>
        <w:t xml:space="preserve"> with the requirement </w:t>
      </w:r>
      <w:r w:rsidR="000E01F4">
        <w:rPr>
          <w:sz w:val="22"/>
          <w:szCs w:val="22"/>
        </w:rPr>
        <w:t>for</w:t>
      </w:r>
      <w:r w:rsidR="00BB421A">
        <w:rPr>
          <w:sz w:val="22"/>
          <w:szCs w:val="22"/>
        </w:rPr>
        <w:t xml:space="preserve"> </w:t>
      </w:r>
      <w:r w:rsidR="00BB421A" w:rsidRPr="00BB421A">
        <w:rPr>
          <w:sz w:val="22"/>
          <w:szCs w:val="22"/>
        </w:rPr>
        <w:t xml:space="preserve">Load </w:t>
      </w:r>
      <w:r w:rsidR="000E01F4">
        <w:rPr>
          <w:sz w:val="22"/>
          <w:szCs w:val="22"/>
        </w:rPr>
        <w:t>B</w:t>
      </w:r>
      <w:r w:rsidR="00BB421A" w:rsidRPr="00BB421A">
        <w:rPr>
          <w:sz w:val="22"/>
          <w:szCs w:val="22"/>
        </w:rPr>
        <w:t xml:space="preserve">ased Equipment </w:t>
      </w:r>
      <w:r w:rsidR="000E01F4">
        <w:rPr>
          <w:sz w:val="22"/>
          <w:szCs w:val="22"/>
        </w:rPr>
        <w:t>to</w:t>
      </w:r>
      <w:r w:rsidR="00BB421A" w:rsidRPr="00BB421A">
        <w:rPr>
          <w:sz w:val="22"/>
          <w:szCs w:val="22"/>
        </w:rPr>
        <w:t xml:space="preserve"> implement a Listen Before Talk (LBT) based Channel Access Mechanism to detect the presence of other transmissions on an Operating Channel</w:t>
      </w:r>
      <w:r w:rsidR="00BB421A">
        <w:rPr>
          <w:sz w:val="22"/>
          <w:szCs w:val="22"/>
        </w:rPr>
        <w:t xml:space="preserve"> </w:t>
      </w:r>
      <w:r w:rsidR="00BB421A">
        <w:rPr>
          <w:sz w:val="22"/>
          <w:szCs w:val="22"/>
        </w:rPr>
        <w:fldChar w:fldCharType="begin"/>
      </w:r>
      <w:r w:rsidR="00BB421A">
        <w:rPr>
          <w:sz w:val="22"/>
          <w:szCs w:val="22"/>
        </w:rPr>
        <w:instrText xml:space="preserve"> REF _Ref40393515 \r \h </w:instrText>
      </w:r>
      <w:r w:rsidR="00BB421A">
        <w:rPr>
          <w:sz w:val="22"/>
          <w:szCs w:val="22"/>
        </w:rPr>
      </w:r>
      <w:r w:rsidR="00BB421A">
        <w:rPr>
          <w:sz w:val="22"/>
          <w:szCs w:val="22"/>
        </w:rPr>
        <w:fldChar w:fldCharType="separate"/>
      </w:r>
      <w:r w:rsidR="006B3305">
        <w:rPr>
          <w:sz w:val="22"/>
          <w:szCs w:val="22"/>
        </w:rPr>
        <w:t>[6]</w:t>
      </w:r>
      <w:r w:rsidR="00BB421A">
        <w:rPr>
          <w:sz w:val="22"/>
          <w:szCs w:val="22"/>
        </w:rPr>
        <w:fldChar w:fldCharType="end"/>
      </w:r>
      <w:r w:rsidR="00BB421A" w:rsidRPr="00BB421A">
        <w:rPr>
          <w:sz w:val="22"/>
          <w:szCs w:val="22"/>
        </w:rPr>
        <w:t>.</w:t>
      </w:r>
    </w:p>
    <w:p w14:paraId="23D4F7F7" w14:textId="77777777" w:rsidR="00BB421A" w:rsidRDefault="00BB421A" w:rsidP="00BB421A">
      <w:pPr>
        <w:jc w:val="both"/>
        <w:rPr>
          <w:sz w:val="22"/>
          <w:szCs w:val="22"/>
        </w:rPr>
      </w:pPr>
    </w:p>
    <w:p w14:paraId="3701EF33" w14:textId="41B0B1F2" w:rsidR="00523E3D" w:rsidRPr="00A20DBA" w:rsidRDefault="000E01F4" w:rsidP="00523E3D">
      <w:pPr>
        <w:jc w:val="both"/>
        <w:rPr>
          <w:sz w:val="22"/>
          <w:szCs w:val="22"/>
        </w:rPr>
      </w:pPr>
      <w:r>
        <w:rPr>
          <w:sz w:val="22"/>
          <w:szCs w:val="22"/>
        </w:rPr>
        <w:t>Similar to the 5 GHz frequency band, i</w:t>
      </w:r>
      <w:r w:rsidR="00BB421A">
        <w:rPr>
          <w:sz w:val="22"/>
          <w:szCs w:val="22"/>
        </w:rPr>
        <w:t>n the 60 GHz unlicensed frequency band, it is explicitly state</w:t>
      </w:r>
      <w:r>
        <w:rPr>
          <w:sz w:val="22"/>
          <w:szCs w:val="22"/>
        </w:rPr>
        <w:t>d</w:t>
      </w:r>
      <w:r w:rsidR="00BB421A">
        <w:rPr>
          <w:sz w:val="22"/>
          <w:szCs w:val="22"/>
        </w:rPr>
        <w:t xml:space="preserve"> by ETSI that LBT is mandatory within an operating channel </w:t>
      </w:r>
      <w:r w:rsidR="00615713">
        <w:rPr>
          <w:sz w:val="22"/>
          <w:szCs w:val="22"/>
        </w:rPr>
        <w:t xml:space="preserve">for sub-band c1 multiple access </w:t>
      </w:r>
      <w:r w:rsidR="00BB421A">
        <w:rPr>
          <w:sz w:val="22"/>
          <w:szCs w:val="22"/>
        </w:rPr>
        <w:t xml:space="preserve">but unlike the 5 GHz band, an explicit nominal </w:t>
      </w:r>
      <w:r w:rsidR="0014015E">
        <w:rPr>
          <w:sz w:val="22"/>
          <w:szCs w:val="22"/>
        </w:rPr>
        <w:t>channel bandwidth is not defined</w:t>
      </w:r>
      <w:r w:rsidR="008B4BE8">
        <w:rPr>
          <w:sz w:val="22"/>
          <w:szCs w:val="22"/>
        </w:rPr>
        <w:t xml:space="preserve"> </w:t>
      </w:r>
      <w:r w:rsidR="008B4BE8">
        <w:rPr>
          <w:sz w:val="22"/>
          <w:szCs w:val="22"/>
        </w:rPr>
        <w:fldChar w:fldCharType="begin"/>
      </w:r>
      <w:r w:rsidR="008B4BE8">
        <w:rPr>
          <w:sz w:val="22"/>
          <w:szCs w:val="22"/>
        </w:rPr>
        <w:instrText xml:space="preserve"> REF _Ref40413541 \r \h </w:instrText>
      </w:r>
      <w:r w:rsidR="008B4BE8">
        <w:rPr>
          <w:sz w:val="22"/>
          <w:szCs w:val="22"/>
        </w:rPr>
      </w:r>
      <w:r w:rsidR="008B4BE8">
        <w:rPr>
          <w:sz w:val="22"/>
          <w:szCs w:val="22"/>
        </w:rPr>
        <w:fldChar w:fldCharType="separate"/>
      </w:r>
      <w:r w:rsidR="006B3305">
        <w:rPr>
          <w:sz w:val="22"/>
          <w:szCs w:val="22"/>
        </w:rPr>
        <w:t>[7]</w:t>
      </w:r>
      <w:r w:rsidR="008B4BE8">
        <w:rPr>
          <w:sz w:val="22"/>
          <w:szCs w:val="22"/>
        </w:rPr>
        <w:fldChar w:fldCharType="end"/>
      </w:r>
      <w:r w:rsidR="0014015E">
        <w:rPr>
          <w:sz w:val="22"/>
          <w:szCs w:val="22"/>
        </w:rPr>
        <w:t xml:space="preserve">. As such, NR operating </w:t>
      </w:r>
      <w:r>
        <w:rPr>
          <w:sz w:val="22"/>
          <w:szCs w:val="22"/>
        </w:rPr>
        <w:t xml:space="preserve">in the unlicensed band </w:t>
      </w:r>
      <w:r w:rsidR="0014015E">
        <w:rPr>
          <w:sz w:val="22"/>
          <w:szCs w:val="22"/>
        </w:rPr>
        <w:t>between 52.6 GHz and 71 GHz</w:t>
      </w:r>
      <w:r>
        <w:rPr>
          <w:sz w:val="22"/>
          <w:szCs w:val="22"/>
        </w:rPr>
        <w:t xml:space="preserve"> </w:t>
      </w:r>
      <w:r w:rsidR="0014015E">
        <w:rPr>
          <w:sz w:val="22"/>
          <w:szCs w:val="22"/>
        </w:rPr>
        <w:t xml:space="preserve"> may have the </w:t>
      </w:r>
      <w:r w:rsidR="00A215CB">
        <w:rPr>
          <w:sz w:val="22"/>
          <w:szCs w:val="22"/>
        </w:rPr>
        <w:t>flexibility</w:t>
      </w:r>
      <w:r w:rsidR="0014015E">
        <w:rPr>
          <w:sz w:val="22"/>
          <w:szCs w:val="22"/>
        </w:rPr>
        <w:t xml:space="preserve"> to select the nominal channel bandwidth of operation. </w:t>
      </w:r>
      <w:r w:rsidR="008B4BE8" w:rsidRPr="0057649C">
        <w:rPr>
          <w:sz w:val="22"/>
          <w:szCs w:val="22"/>
        </w:rPr>
        <w:t>Recommendation ITU-R M.2003</w:t>
      </w:r>
      <w:r w:rsidR="00673B70">
        <w:rPr>
          <w:sz w:val="22"/>
          <w:szCs w:val="22"/>
        </w:rPr>
        <w:t xml:space="preserve"> </w:t>
      </w:r>
      <w:r w:rsidR="00192573">
        <w:rPr>
          <w:sz w:val="22"/>
          <w:szCs w:val="22"/>
        </w:rPr>
        <w:fldChar w:fldCharType="begin"/>
      </w:r>
      <w:r w:rsidR="00192573">
        <w:rPr>
          <w:sz w:val="22"/>
          <w:szCs w:val="22"/>
        </w:rPr>
        <w:instrText xml:space="preserve"> REF _Ref53741569 \r \h </w:instrText>
      </w:r>
      <w:r w:rsidR="00192573">
        <w:rPr>
          <w:sz w:val="22"/>
          <w:szCs w:val="22"/>
        </w:rPr>
      </w:r>
      <w:r w:rsidR="00192573">
        <w:rPr>
          <w:sz w:val="22"/>
          <w:szCs w:val="22"/>
        </w:rPr>
        <w:fldChar w:fldCharType="separate"/>
      </w:r>
      <w:r w:rsidR="006B3305">
        <w:rPr>
          <w:sz w:val="22"/>
          <w:szCs w:val="22"/>
        </w:rPr>
        <w:t>[5]</w:t>
      </w:r>
      <w:r w:rsidR="00192573">
        <w:rPr>
          <w:sz w:val="22"/>
          <w:szCs w:val="22"/>
        </w:rPr>
        <w:fldChar w:fldCharType="end"/>
      </w:r>
      <w:r w:rsidR="00673B70">
        <w:rPr>
          <w:sz w:val="22"/>
          <w:szCs w:val="22"/>
        </w:rPr>
        <w:t xml:space="preserve">, </w:t>
      </w:r>
      <w:r>
        <w:rPr>
          <w:sz w:val="22"/>
          <w:szCs w:val="22"/>
        </w:rPr>
        <w:t>observes</w:t>
      </w:r>
      <w:r w:rsidR="00673B70">
        <w:rPr>
          <w:sz w:val="22"/>
          <w:szCs w:val="22"/>
        </w:rPr>
        <w:t xml:space="preserve"> that a</w:t>
      </w:r>
      <w:r w:rsidR="00673B70" w:rsidRPr="00673B70">
        <w:rPr>
          <w:sz w:val="22"/>
          <w:szCs w:val="22"/>
        </w:rPr>
        <w:t xml:space="preserve"> </w:t>
      </w:r>
      <w:r w:rsidR="006D006D">
        <w:rPr>
          <w:sz w:val="22"/>
          <w:szCs w:val="22"/>
        </w:rPr>
        <w:t>2.16 GHz</w:t>
      </w:r>
      <w:r w:rsidR="00673B70" w:rsidRPr="00673B70">
        <w:rPr>
          <w:sz w:val="22"/>
          <w:szCs w:val="22"/>
        </w:rPr>
        <w:t xml:space="preserve"> MHz channel bandwidth is required for single channels </w:t>
      </w:r>
      <w:r>
        <w:rPr>
          <w:sz w:val="22"/>
          <w:szCs w:val="22"/>
        </w:rPr>
        <w:t>in</w:t>
      </w:r>
      <w:r w:rsidR="00673B70">
        <w:rPr>
          <w:sz w:val="22"/>
          <w:szCs w:val="22"/>
        </w:rPr>
        <w:t xml:space="preserve"> multiple existing standards operating around 60 GHz an</w:t>
      </w:r>
      <w:r w:rsidR="00085500">
        <w:rPr>
          <w:sz w:val="22"/>
          <w:szCs w:val="22"/>
        </w:rPr>
        <w:t>d</w:t>
      </w:r>
      <w:r w:rsidR="00673B70">
        <w:rPr>
          <w:sz w:val="22"/>
          <w:szCs w:val="22"/>
        </w:rPr>
        <w:t xml:space="preserve"> </w:t>
      </w:r>
      <w:r>
        <w:rPr>
          <w:sz w:val="22"/>
          <w:szCs w:val="22"/>
        </w:rPr>
        <w:t>recommends</w:t>
      </w:r>
      <w:r w:rsidR="00673B70">
        <w:rPr>
          <w:sz w:val="22"/>
          <w:szCs w:val="22"/>
        </w:rPr>
        <w:t xml:space="preserve"> that</w:t>
      </w:r>
      <w:r w:rsidR="00673B70" w:rsidRPr="00673B70">
        <w:rPr>
          <w:sz w:val="22"/>
          <w:szCs w:val="22"/>
        </w:rPr>
        <w:t xml:space="preserve"> is important that</w:t>
      </w:r>
      <w:r w:rsidR="00673B70">
        <w:rPr>
          <w:sz w:val="22"/>
          <w:szCs w:val="22"/>
        </w:rPr>
        <w:t xml:space="preserve"> new standards for Multi-Gigabit Wireless Systems (MGWS) operating in frequencies around 60 GHz </w:t>
      </w:r>
      <w:r w:rsidR="00673B70" w:rsidRPr="00673B70">
        <w:rPr>
          <w:sz w:val="22"/>
          <w:szCs w:val="22"/>
        </w:rPr>
        <w:t>employ the same channelization in order to promote better coexistence</w:t>
      </w:r>
      <w:r w:rsidR="00673B70">
        <w:rPr>
          <w:sz w:val="22"/>
          <w:szCs w:val="22"/>
        </w:rPr>
        <w:t>.</w:t>
      </w:r>
      <w:r w:rsidR="00523E3D" w:rsidRPr="00A20DBA">
        <w:rPr>
          <w:sz w:val="22"/>
          <w:szCs w:val="22"/>
        </w:rPr>
        <w:t xml:space="preserve"> </w:t>
      </w:r>
    </w:p>
    <w:p w14:paraId="4BC7D91D" w14:textId="77777777" w:rsidR="00A215CB" w:rsidRDefault="00A215CB" w:rsidP="00085500">
      <w:pPr>
        <w:jc w:val="both"/>
        <w:rPr>
          <w:sz w:val="22"/>
          <w:szCs w:val="22"/>
        </w:rPr>
      </w:pPr>
    </w:p>
    <w:p w14:paraId="44FB2C1F" w14:textId="3647AD45" w:rsidR="001207E3" w:rsidRDefault="00523E3D" w:rsidP="00085500">
      <w:pPr>
        <w:jc w:val="both"/>
        <w:rPr>
          <w:sz w:val="22"/>
          <w:szCs w:val="22"/>
        </w:rPr>
      </w:pPr>
      <w:r>
        <w:rPr>
          <w:sz w:val="22"/>
          <w:szCs w:val="22"/>
        </w:rPr>
        <w:t xml:space="preserve">As such, </w:t>
      </w:r>
      <w:r w:rsidR="0014015E">
        <w:rPr>
          <w:sz w:val="22"/>
          <w:szCs w:val="22"/>
        </w:rPr>
        <w:t xml:space="preserve">NR operating between 52.6 GHz and 71 GHz </w:t>
      </w:r>
      <w:r>
        <w:rPr>
          <w:sz w:val="22"/>
          <w:szCs w:val="22"/>
        </w:rPr>
        <w:t xml:space="preserve">should support </w:t>
      </w:r>
      <w:r w:rsidR="00A2030C">
        <w:rPr>
          <w:sz w:val="22"/>
          <w:szCs w:val="22"/>
        </w:rPr>
        <w:t xml:space="preserve">modes that align with 2.16 GHz with </w:t>
      </w:r>
      <w:r>
        <w:rPr>
          <w:sz w:val="22"/>
          <w:szCs w:val="22"/>
        </w:rPr>
        <w:t xml:space="preserve">the following two </w:t>
      </w:r>
      <w:r w:rsidR="00A2030C">
        <w:rPr>
          <w:sz w:val="22"/>
          <w:szCs w:val="22"/>
        </w:rPr>
        <w:t>options</w:t>
      </w:r>
      <w:r w:rsidR="001207E3">
        <w:rPr>
          <w:sz w:val="22"/>
          <w:szCs w:val="22"/>
        </w:rPr>
        <w:t>:</w:t>
      </w:r>
    </w:p>
    <w:p w14:paraId="618A9592" w14:textId="195584C9" w:rsidR="001207E3" w:rsidRPr="00B826ED" w:rsidRDefault="00523E3D" w:rsidP="00790F07">
      <w:pPr>
        <w:pStyle w:val="ListParagraph"/>
        <w:numPr>
          <w:ilvl w:val="0"/>
          <w:numId w:val="5"/>
        </w:numPr>
        <w:ind w:leftChars="0"/>
        <w:jc w:val="both"/>
        <w:rPr>
          <w:sz w:val="22"/>
          <w:szCs w:val="22"/>
        </w:rPr>
      </w:pPr>
      <w:r>
        <w:rPr>
          <w:sz w:val="22"/>
          <w:szCs w:val="22"/>
        </w:rPr>
        <w:t>Mode 1</w:t>
      </w:r>
      <w:r w:rsidR="001207E3" w:rsidRPr="00B826ED">
        <w:rPr>
          <w:sz w:val="22"/>
          <w:szCs w:val="22"/>
        </w:rPr>
        <w:t xml:space="preserve">: </w:t>
      </w:r>
      <w:r w:rsidR="00A215CB">
        <w:rPr>
          <w:sz w:val="22"/>
          <w:szCs w:val="22"/>
        </w:rPr>
        <w:t>An</w:t>
      </w:r>
      <w:r w:rsidR="001207E3" w:rsidRPr="00B826ED">
        <w:rPr>
          <w:sz w:val="22"/>
          <w:szCs w:val="22"/>
        </w:rPr>
        <w:t xml:space="preserve"> operating </w:t>
      </w:r>
      <w:r w:rsidR="0014015E" w:rsidRPr="00B826ED">
        <w:rPr>
          <w:sz w:val="22"/>
          <w:szCs w:val="22"/>
        </w:rPr>
        <w:t xml:space="preserve">channel bandwidth </w:t>
      </w:r>
      <w:r w:rsidR="001207E3" w:rsidRPr="00B826ED">
        <w:rPr>
          <w:sz w:val="22"/>
          <w:szCs w:val="22"/>
        </w:rPr>
        <w:t>of</w:t>
      </w:r>
      <w:r w:rsidR="0014015E" w:rsidRPr="00B826ED">
        <w:rPr>
          <w:sz w:val="22"/>
          <w:szCs w:val="22"/>
        </w:rPr>
        <w:t xml:space="preserve"> 2.16 GHz</w:t>
      </w:r>
    </w:p>
    <w:p w14:paraId="3E8D3A63" w14:textId="3105143F" w:rsidR="001207E3" w:rsidRDefault="00523E3D" w:rsidP="00790F07">
      <w:pPr>
        <w:pStyle w:val="ListParagraph"/>
        <w:numPr>
          <w:ilvl w:val="0"/>
          <w:numId w:val="5"/>
        </w:numPr>
        <w:ind w:leftChars="0"/>
        <w:jc w:val="both"/>
        <w:rPr>
          <w:sz w:val="22"/>
          <w:szCs w:val="22"/>
        </w:rPr>
      </w:pPr>
      <w:r>
        <w:rPr>
          <w:sz w:val="22"/>
          <w:szCs w:val="22"/>
        </w:rPr>
        <w:t>Mode 2</w:t>
      </w:r>
      <w:r w:rsidR="001207E3" w:rsidRPr="00B826ED">
        <w:rPr>
          <w:sz w:val="22"/>
          <w:szCs w:val="22"/>
        </w:rPr>
        <w:t xml:space="preserve">: </w:t>
      </w:r>
      <w:r w:rsidR="00A215CB">
        <w:rPr>
          <w:sz w:val="22"/>
          <w:szCs w:val="22"/>
        </w:rPr>
        <w:t>An</w:t>
      </w:r>
      <w:r w:rsidR="001207E3" w:rsidRPr="00B826ED">
        <w:rPr>
          <w:sz w:val="22"/>
          <w:szCs w:val="22"/>
        </w:rPr>
        <w:t xml:space="preserve"> operating channel bandwidth less than 2.16 GHz</w:t>
      </w:r>
    </w:p>
    <w:p w14:paraId="20D4FA3A" w14:textId="64722F27" w:rsidR="00523E3D" w:rsidRDefault="00523E3D" w:rsidP="00490012">
      <w:pPr>
        <w:jc w:val="both"/>
        <w:rPr>
          <w:sz w:val="22"/>
          <w:szCs w:val="22"/>
        </w:rPr>
      </w:pPr>
    </w:p>
    <w:p w14:paraId="2B05D413" w14:textId="4D0762E1" w:rsidR="00497F47" w:rsidRDefault="00A215CB" w:rsidP="00000CE1">
      <w:pPr>
        <w:jc w:val="both"/>
        <w:rPr>
          <w:sz w:val="22"/>
          <w:szCs w:val="22"/>
        </w:rPr>
      </w:pPr>
      <w:r>
        <w:rPr>
          <w:sz w:val="22"/>
          <w:szCs w:val="22"/>
        </w:rPr>
        <w:t xml:space="preserve">For </w:t>
      </w:r>
      <w:r w:rsidR="00A2030C">
        <w:rPr>
          <w:sz w:val="22"/>
          <w:szCs w:val="22"/>
        </w:rPr>
        <w:t>M</w:t>
      </w:r>
      <w:r w:rsidR="00523E3D" w:rsidRPr="00000CE1">
        <w:rPr>
          <w:sz w:val="22"/>
          <w:szCs w:val="22"/>
        </w:rPr>
        <w:t xml:space="preserve">ode 1, </w:t>
      </w:r>
      <w:r>
        <w:rPr>
          <w:sz w:val="22"/>
          <w:szCs w:val="22"/>
        </w:rPr>
        <w:t>t</w:t>
      </w:r>
      <w:r w:rsidR="00523E3D" w:rsidRPr="00000CE1">
        <w:rPr>
          <w:sz w:val="22"/>
          <w:szCs w:val="22"/>
        </w:rPr>
        <w:t xml:space="preserve">here </w:t>
      </w:r>
      <w:r w:rsidR="00ED23BE">
        <w:rPr>
          <w:sz w:val="22"/>
          <w:szCs w:val="22"/>
        </w:rPr>
        <w:t>can</w:t>
      </w:r>
      <w:r w:rsidR="00523E3D" w:rsidRPr="00000CE1">
        <w:rPr>
          <w:sz w:val="22"/>
          <w:szCs w:val="22"/>
        </w:rPr>
        <w:t xml:space="preserve"> be </w:t>
      </w:r>
      <w:r w:rsidR="00497F47">
        <w:rPr>
          <w:sz w:val="22"/>
          <w:szCs w:val="22"/>
        </w:rPr>
        <w:t xml:space="preserve"> </w:t>
      </w:r>
      <w:r>
        <w:rPr>
          <w:sz w:val="22"/>
          <w:szCs w:val="22"/>
        </w:rPr>
        <w:t>U</w:t>
      </w:r>
      <w:r w:rsidR="00497F47">
        <w:rPr>
          <w:sz w:val="22"/>
          <w:szCs w:val="22"/>
        </w:rPr>
        <w:t xml:space="preserve">Es </w:t>
      </w:r>
      <w:r w:rsidR="00497F47" w:rsidRPr="0014015E">
        <w:rPr>
          <w:sz w:val="22"/>
          <w:szCs w:val="22"/>
        </w:rPr>
        <w:t xml:space="preserve">that use </w:t>
      </w:r>
      <w:r w:rsidR="00ED23BE">
        <w:rPr>
          <w:sz w:val="22"/>
          <w:szCs w:val="22"/>
        </w:rPr>
        <w:t xml:space="preserve">single carrier transmission and UEs that use </w:t>
      </w:r>
      <w:r w:rsidR="00497F47" w:rsidRPr="0014015E">
        <w:rPr>
          <w:sz w:val="22"/>
          <w:szCs w:val="22"/>
        </w:rPr>
        <w:t xml:space="preserve">carrier aggregation </w:t>
      </w:r>
      <w:r>
        <w:rPr>
          <w:sz w:val="22"/>
          <w:szCs w:val="22"/>
        </w:rPr>
        <w:t xml:space="preserve">to achieve the operating channel bandwidth </w:t>
      </w:r>
      <w:r w:rsidR="00497F47" w:rsidRPr="0014015E">
        <w:rPr>
          <w:sz w:val="22"/>
          <w:szCs w:val="22"/>
        </w:rPr>
        <w:t xml:space="preserve">and have multiple component carriers (with possibly separate RF modules) spanning the </w:t>
      </w:r>
      <w:r w:rsidR="00497F47">
        <w:rPr>
          <w:sz w:val="22"/>
          <w:szCs w:val="22"/>
        </w:rPr>
        <w:t>2.16 GHz</w:t>
      </w:r>
      <w:r w:rsidR="00497F47" w:rsidRPr="0014015E">
        <w:rPr>
          <w:sz w:val="22"/>
          <w:szCs w:val="22"/>
        </w:rPr>
        <w:t xml:space="preserve">. </w:t>
      </w:r>
    </w:p>
    <w:p w14:paraId="50D3799E" w14:textId="77777777" w:rsidR="00497F47" w:rsidRDefault="00497F47" w:rsidP="00000CE1">
      <w:pPr>
        <w:ind w:left="90"/>
        <w:jc w:val="both"/>
        <w:rPr>
          <w:sz w:val="22"/>
          <w:szCs w:val="22"/>
        </w:rPr>
      </w:pPr>
    </w:p>
    <w:p w14:paraId="049F5E71" w14:textId="6FFDC594" w:rsidR="00EF357E" w:rsidRDefault="00EF357E" w:rsidP="00EF357E">
      <w:pPr>
        <w:jc w:val="both"/>
        <w:rPr>
          <w:i/>
          <w:iCs/>
          <w:sz w:val="22"/>
          <w:szCs w:val="22"/>
        </w:rPr>
      </w:pPr>
      <w:r w:rsidRPr="002758D3">
        <w:rPr>
          <w:b/>
          <w:bCs/>
          <w:i/>
          <w:iCs/>
          <w:sz w:val="22"/>
          <w:szCs w:val="22"/>
        </w:rPr>
        <w:t xml:space="preserve">Observation </w:t>
      </w:r>
      <w:r>
        <w:rPr>
          <w:b/>
          <w:bCs/>
          <w:i/>
          <w:iCs/>
          <w:sz w:val="22"/>
          <w:szCs w:val="22"/>
        </w:rPr>
        <w:t>3</w:t>
      </w:r>
      <w:r w:rsidRPr="002758D3">
        <w:rPr>
          <w:b/>
          <w:bCs/>
          <w:i/>
          <w:iCs/>
          <w:sz w:val="22"/>
          <w:szCs w:val="22"/>
        </w:rPr>
        <w:t>:</w:t>
      </w:r>
      <w:r w:rsidRPr="002758D3">
        <w:rPr>
          <w:i/>
          <w:iCs/>
          <w:sz w:val="22"/>
          <w:szCs w:val="22"/>
        </w:rPr>
        <w:t xml:space="preserve"> Unlicensed access for NR </w:t>
      </w:r>
      <w:r>
        <w:rPr>
          <w:i/>
          <w:iCs/>
          <w:sz w:val="22"/>
          <w:szCs w:val="22"/>
        </w:rPr>
        <w:t>operating between</w:t>
      </w:r>
      <w:r w:rsidRPr="002758D3">
        <w:rPr>
          <w:i/>
          <w:iCs/>
          <w:sz w:val="22"/>
          <w:szCs w:val="22"/>
        </w:rPr>
        <w:t xml:space="preserve"> 52.6 GHz </w:t>
      </w:r>
      <w:r>
        <w:rPr>
          <w:i/>
          <w:iCs/>
          <w:sz w:val="22"/>
          <w:szCs w:val="22"/>
        </w:rPr>
        <w:t xml:space="preserve">and 71 GHz </w:t>
      </w:r>
      <w:r w:rsidRPr="002758D3">
        <w:rPr>
          <w:i/>
          <w:iCs/>
          <w:sz w:val="22"/>
          <w:szCs w:val="22"/>
        </w:rPr>
        <w:t>in the unlicensed band will have to co-exist with</w:t>
      </w:r>
      <w:r>
        <w:rPr>
          <w:i/>
          <w:iCs/>
          <w:sz w:val="22"/>
          <w:szCs w:val="22"/>
        </w:rPr>
        <w:t xml:space="preserve"> existing RATs such as IEEE</w:t>
      </w:r>
      <w:r w:rsidRPr="002758D3">
        <w:rPr>
          <w:i/>
          <w:iCs/>
          <w:sz w:val="22"/>
          <w:szCs w:val="22"/>
        </w:rPr>
        <w:t xml:space="preserve"> 802.11ad and </w:t>
      </w:r>
      <w:r>
        <w:rPr>
          <w:i/>
          <w:iCs/>
          <w:sz w:val="22"/>
          <w:szCs w:val="22"/>
        </w:rPr>
        <w:t xml:space="preserve">IEEE </w:t>
      </w:r>
      <w:r w:rsidRPr="002758D3">
        <w:rPr>
          <w:i/>
          <w:iCs/>
          <w:sz w:val="22"/>
          <w:szCs w:val="22"/>
        </w:rPr>
        <w:t>802.11ay</w:t>
      </w:r>
      <w:r>
        <w:rPr>
          <w:i/>
          <w:iCs/>
          <w:sz w:val="22"/>
          <w:szCs w:val="22"/>
        </w:rPr>
        <w:t xml:space="preserve"> that require an operating bandwidth of 2.16 GHz. </w:t>
      </w:r>
    </w:p>
    <w:p w14:paraId="50730BD3" w14:textId="77777777" w:rsidR="00EF357E" w:rsidRDefault="00EF357E" w:rsidP="00A215CB">
      <w:pPr>
        <w:jc w:val="both"/>
        <w:rPr>
          <w:rFonts w:cs="Batang"/>
          <w:i/>
          <w:iCs/>
          <w:sz w:val="22"/>
          <w:szCs w:val="22"/>
          <w:lang w:val="en-GB" w:eastAsia="en-US"/>
        </w:rPr>
      </w:pPr>
    </w:p>
    <w:p w14:paraId="5D936961" w14:textId="4FCB8C7D" w:rsidR="00523E3D" w:rsidRPr="00A20DBA" w:rsidRDefault="00523E3D" w:rsidP="00A215CB">
      <w:pPr>
        <w:jc w:val="both"/>
        <w:rPr>
          <w:rFonts w:cs="Batang"/>
          <w:i/>
          <w:iCs/>
          <w:sz w:val="22"/>
          <w:szCs w:val="22"/>
          <w:lang w:val="en-GB" w:eastAsia="en-US"/>
        </w:rPr>
      </w:pPr>
      <w:r w:rsidRPr="00A20DBA">
        <w:rPr>
          <w:rFonts w:cs="Batang"/>
          <w:b/>
          <w:bCs/>
          <w:i/>
          <w:iCs/>
          <w:sz w:val="22"/>
          <w:szCs w:val="22"/>
          <w:lang w:val="en-GB" w:eastAsia="en-US"/>
        </w:rPr>
        <w:t>P</w:t>
      </w:r>
      <w:r w:rsidR="00A215CB" w:rsidRPr="00EF357E">
        <w:rPr>
          <w:rFonts w:cs="Batang"/>
          <w:b/>
          <w:bCs/>
          <w:i/>
          <w:iCs/>
          <w:sz w:val="22"/>
          <w:szCs w:val="22"/>
          <w:lang w:val="en-GB" w:eastAsia="en-US"/>
        </w:rPr>
        <w:t>roposal 2</w:t>
      </w:r>
      <w:r w:rsidRPr="00A20DBA">
        <w:rPr>
          <w:rFonts w:cs="Batang"/>
          <w:b/>
          <w:bCs/>
          <w:i/>
          <w:iCs/>
          <w:sz w:val="22"/>
          <w:szCs w:val="22"/>
          <w:lang w:val="en-GB" w:eastAsia="en-US"/>
        </w:rPr>
        <w:t>:</w:t>
      </w:r>
      <w:r w:rsidRPr="00A20DBA">
        <w:rPr>
          <w:rFonts w:cs="Batang"/>
          <w:i/>
          <w:iCs/>
          <w:sz w:val="22"/>
          <w:szCs w:val="22"/>
          <w:lang w:val="en-GB" w:eastAsia="en-US"/>
        </w:rPr>
        <w:t xml:space="preserve"> Support mode</w:t>
      </w:r>
      <w:r w:rsidR="00D351ED">
        <w:rPr>
          <w:rFonts w:cs="Batang"/>
          <w:i/>
          <w:iCs/>
          <w:sz w:val="22"/>
          <w:szCs w:val="22"/>
          <w:lang w:val="en-GB" w:eastAsia="en-US"/>
        </w:rPr>
        <w:t>s</w:t>
      </w:r>
      <w:r w:rsidRPr="00A20DBA">
        <w:rPr>
          <w:rFonts w:cs="Batang"/>
          <w:i/>
          <w:iCs/>
          <w:sz w:val="22"/>
          <w:szCs w:val="22"/>
          <w:lang w:val="en-GB" w:eastAsia="en-US"/>
        </w:rPr>
        <w:t xml:space="preserve"> that aligns </w:t>
      </w:r>
      <w:r w:rsidR="00D351ED">
        <w:rPr>
          <w:rFonts w:cs="Batang"/>
          <w:i/>
          <w:iCs/>
          <w:sz w:val="22"/>
          <w:szCs w:val="22"/>
          <w:lang w:val="en-GB" w:eastAsia="en-US"/>
        </w:rPr>
        <w:t xml:space="preserve">the nominal </w:t>
      </w:r>
      <w:r w:rsidR="006B3305">
        <w:rPr>
          <w:rFonts w:cs="Batang"/>
          <w:i/>
          <w:iCs/>
          <w:sz w:val="22"/>
          <w:szCs w:val="22"/>
          <w:lang w:val="en-GB" w:eastAsia="en-US"/>
        </w:rPr>
        <w:t>bandwidth</w:t>
      </w:r>
      <w:r w:rsidR="00D351ED">
        <w:rPr>
          <w:rFonts w:cs="Batang"/>
          <w:i/>
          <w:iCs/>
          <w:sz w:val="22"/>
          <w:szCs w:val="22"/>
          <w:lang w:val="en-GB" w:eastAsia="en-US"/>
        </w:rPr>
        <w:t xml:space="preserve"> </w:t>
      </w:r>
      <w:r w:rsidRPr="00A20DBA">
        <w:rPr>
          <w:rFonts w:cs="Batang"/>
          <w:i/>
          <w:iCs/>
          <w:sz w:val="22"/>
          <w:szCs w:val="22"/>
          <w:lang w:val="en-GB" w:eastAsia="en-US"/>
        </w:rPr>
        <w:t>with WiFi 11ad/11ay channels of 2.16GHz bandwidth</w:t>
      </w:r>
    </w:p>
    <w:p w14:paraId="1AA91508" w14:textId="77777777" w:rsidR="00A215CB" w:rsidRPr="00A215CB" w:rsidRDefault="00523E3D" w:rsidP="00790F07">
      <w:pPr>
        <w:pStyle w:val="ListParagraph"/>
        <w:numPr>
          <w:ilvl w:val="0"/>
          <w:numId w:val="6"/>
        </w:numPr>
        <w:ind w:leftChars="0"/>
        <w:jc w:val="both"/>
        <w:rPr>
          <w:rFonts w:cs="Batang"/>
          <w:i/>
          <w:iCs/>
          <w:sz w:val="22"/>
          <w:szCs w:val="22"/>
          <w:lang w:eastAsia="en-US"/>
        </w:rPr>
      </w:pPr>
      <w:r w:rsidRPr="00A215CB">
        <w:rPr>
          <w:rFonts w:cs="Batang"/>
          <w:i/>
          <w:iCs/>
          <w:sz w:val="22"/>
          <w:szCs w:val="22"/>
          <w:lang w:eastAsia="en-US"/>
        </w:rPr>
        <w:lastRenderedPageBreak/>
        <w:t>Both single carrier and multi-carrier modes should be supported</w:t>
      </w:r>
    </w:p>
    <w:p w14:paraId="2AEE424F" w14:textId="5979C3F9" w:rsidR="00523E3D" w:rsidRPr="00A215CB" w:rsidRDefault="00523E3D" w:rsidP="00790F07">
      <w:pPr>
        <w:pStyle w:val="ListParagraph"/>
        <w:numPr>
          <w:ilvl w:val="0"/>
          <w:numId w:val="6"/>
        </w:numPr>
        <w:ind w:leftChars="0"/>
        <w:jc w:val="both"/>
        <w:rPr>
          <w:rFonts w:cs="Batang"/>
          <w:i/>
          <w:iCs/>
          <w:sz w:val="22"/>
          <w:szCs w:val="22"/>
          <w:lang w:eastAsia="en-US"/>
        </w:rPr>
      </w:pPr>
      <w:r w:rsidRPr="00A215CB">
        <w:rPr>
          <w:rFonts w:cs="Batang"/>
          <w:i/>
          <w:iCs/>
          <w:sz w:val="22"/>
          <w:szCs w:val="22"/>
          <w:lang w:eastAsia="en-US"/>
        </w:rPr>
        <w:t>Allow</w:t>
      </w:r>
      <w:r w:rsidR="00A215CB">
        <w:rPr>
          <w:rFonts w:cs="Batang"/>
          <w:i/>
          <w:iCs/>
          <w:sz w:val="22"/>
          <w:szCs w:val="22"/>
          <w:lang w:eastAsia="en-US"/>
        </w:rPr>
        <w:t xml:space="preserve"> an operating</w:t>
      </w:r>
      <w:r w:rsidRPr="00A215CB">
        <w:rPr>
          <w:rFonts w:cs="Batang"/>
          <w:i/>
          <w:iCs/>
          <w:sz w:val="22"/>
          <w:szCs w:val="22"/>
          <w:lang w:eastAsia="en-US"/>
        </w:rPr>
        <w:t xml:space="preserve"> channel BW &lt; 2.16 GHz bandwidth</w:t>
      </w:r>
    </w:p>
    <w:p w14:paraId="081A36FE" w14:textId="77777777" w:rsidR="007977DB" w:rsidRPr="00B826ED" w:rsidRDefault="007977DB" w:rsidP="00877EEF">
      <w:pPr>
        <w:pStyle w:val="ListParagraph"/>
        <w:ind w:leftChars="0" w:left="360" w:firstLine="0"/>
        <w:jc w:val="both"/>
        <w:rPr>
          <w:sz w:val="22"/>
          <w:szCs w:val="22"/>
        </w:rPr>
      </w:pPr>
    </w:p>
    <w:p w14:paraId="6C28A0BF" w14:textId="77777777" w:rsidR="00EB7A24" w:rsidRDefault="00EB7A24" w:rsidP="00EB7A24">
      <w:pPr>
        <w:pStyle w:val="Heading2"/>
      </w:pPr>
      <w:r>
        <w:t>Modified LBT Mechanisms</w:t>
      </w:r>
    </w:p>
    <w:p w14:paraId="6DABAFED" w14:textId="77777777" w:rsidR="00EB7A24" w:rsidRDefault="00EB7A24" w:rsidP="00EB7A24">
      <w:pPr>
        <w:pStyle w:val="Heading3"/>
      </w:pPr>
      <w:r>
        <w:t>LBT Mechanism across frequency</w:t>
      </w:r>
    </w:p>
    <w:p w14:paraId="0AD45E47" w14:textId="77777777" w:rsidR="00EB7A24" w:rsidRDefault="00EB7A24" w:rsidP="00EB7A24">
      <w:pPr>
        <w:jc w:val="both"/>
        <w:rPr>
          <w:sz w:val="22"/>
          <w:szCs w:val="22"/>
        </w:rPr>
      </w:pPr>
    </w:p>
    <w:p w14:paraId="5DFF5EDE" w14:textId="77777777" w:rsidR="00EB7A24" w:rsidRDefault="00EB7A24" w:rsidP="00EB7A24">
      <w:pPr>
        <w:jc w:val="both"/>
        <w:rPr>
          <w:sz w:val="22"/>
          <w:szCs w:val="22"/>
        </w:rPr>
      </w:pPr>
      <w:r>
        <w:rPr>
          <w:sz w:val="22"/>
          <w:szCs w:val="22"/>
        </w:rPr>
        <w:t xml:space="preserve">In this section, we discuss the frequency span over which the LBT mechanism is performed for single-carrier and multi-carrier transmission. </w:t>
      </w:r>
    </w:p>
    <w:p w14:paraId="4EA519C4" w14:textId="77777777" w:rsidR="00EB7A24" w:rsidRDefault="00EB7A24" w:rsidP="00EB7A24">
      <w:pPr>
        <w:jc w:val="both"/>
        <w:rPr>
          <w:sz w:val="22"/>
          <w:szCs w:val="22"/>
        </w:rPr>
      </w:pPr>
    </w:p>
    <w:p w14:paraId="39F6E805" w14:textId="15C05FFB" w:rsidR="004F1A3E" w:rsidRDefault="004F1A3E" w:rsidP="00EB7A24">
      <w:pPr>
        <w:jc w:val="both"/>
        <w:rPr>
          <w:sz w:val="22"/>
          <w:szCs w:val="22"/>
        </w:rPr>
      </w:pPr>
      <w:r w:rsidRPr="00497F47">
        <w:rPr>
          <w:sz w:val="22"/>
          <w:szCs w:val="22"/>
        </w:rPr>
        <w:t xml:space="preserve">For scenarios in which LBT is used, </w:t>
      </w:r>
      <w:r>
        <w:rPr>
          <w:sz w:val="22"/>
          <w:szCs w:val="22"/>
        </w:rPr>
        <w:t>the</w:t>
      </w:r>
      <w:r w:rsidRPr="00497F47">
        <w:rPr>
          <w:sz w:val="22"/>
          <w:szCs w:val="22"/>
        </w:rPr>
        <w:t xml:space="preserve"> channel access mechanisms in the unlicensed band </w:t>
      </w:r>
      <w:r w:rsidR="00ED23BE">
        <w:rPr>
          <w:sz w:val="22"/>
          <w:szCs w:val="22"/>
        </w:rPr>
        <w:t xml:space="preserve">in scenarios where CCA is performed </w:t>
      </w:r>
      <w:r w:rsidRPr="00497F47">
        <w:rPr>
          <w:sz w:val="22"/>
          <w:szCs w:val="22"/>
        </w:rPr>
        <w:t xml:space="preserve">on a bandwidth greater than the operating bandwidth </w:t>
      </w:r>
      <w:r>
        <w:rPr>
          <w:sz w:val="22"/>
          <w:szCs w:val="22"/>
        </w:rPr>
        <w:t xml:space="preserve">need to be defined </w:t>
      </w:r>
      <w:r w:rsidRPr="00497F47">
        <w:rPr>
          <w:sz w:val="22"/>
          <w:szCs w:val="22"/>
        </w:rPr>
        <w:t xml:space="preserve">e.g. support for multi-carrier LBT where each </w:t>
      </w:r>
      <w:r>
        <w:rPr>
          <w:sz w:val="22"/>
          <w:szCs w:val="22"/>
        </w:rPr>
        <w:t xml:space="preserve">component </w:t>
      </w:r>
      <w:r w:rsidRPr="00497F47">
        <w:rPr>
          <w:sz w:val="22"/>
          <w:szCs w:val="22"/>
        </w:rPr>
        <w:t xml:space="preserve">carrier is smaller than the </w:t>
      </w:r>
      <w:r w:rsidR="00ED23BE">
        <w:rPr>
          <w:sz w:val="22"/>
          <w:szCs w:val="22"/>
        </w:rPr>
        <w:t>CCA bandwidth</w:t>
      </w:r>
      <w:r w:rsidRPr="00497F47">
        <w:rPr>
          <w:sz w:val="22"/>
          <w:szCs w:val="22"/>
        </w:rPr>
        <w:t>.</w:t>
      </w:r>
    </w:p>
    <w:p w14:paraId="33D6638B" w14:textId="77777777" w:rsidR="004F1A3E" w:rsidRDefault="004F1A3E" w:rsidP="004F1A3E">
      <w:pPr>
        <w:jc w:val="both"/>
        <w:rPr>
          <w:sz w:val="22"/>
          <w:szCs w:val="22"/>
        </w:rPr>
      </w:pPr>
    </w:p>
    <w:p w14:paraId="4C02AF51" w14:textId="77777777" w:rsidR="00ED23BE" w:rsidRDefault="00497F47" w:rsidP="00490012">
      <w:pPr>
        <w:jc w:val="both"/>
        <w:rPr>
          <w:sz w:val="22"/>
          <w:szCs w:val="22"/>
        </w:rPr>
      </w:pPr>
      <w:r>
        <w:rPr>
          <w:sz w:val="22"/>
          <w:szCs w:val="22"/>
        </w:rPr>
        <w:t xml:space="preserve">For channel access in </w:t>
      </w:r>
      <w:r w:rsidR="004F1A3E">
        <w:rPr>
          <w:sz w:val="22"/>
          <w:szCs w:val="22"/>
        </w:rPr>
        <w:t>M</w:t>
      </w:r>
      <w:r>
        <w:rPr>
          <w:sz w:val="22"/>
          <w:szCs w:val="22"/>
        </w:rPr>
        <w:t>ode 1</w:t>
      </w:r>
      <w:r w:rsidR="004F1A3E">
        <w:rPr>
          <w:sz w:val="22"/>
          <w:szCs w:val="22"/>
        </w:rPr>
        <w:t xml:space="preserve"> </w:t>
      </w:r>
      <w:r w:rsidR="00ED23BE">
        <w:rPr>
          <w:sz w:val="22"/>
          <w:szCs w:val="22"/>
        </w:rPr>
        <w:t xml:space="preserve">i.e. </w:t>
      </w:r>
      <w:r w:rsidR="004F1A3E">
        <w:rPr>
          <w:sz w:val="22"/>
          <w:szCs w:val="22"/>
        </w:rPr>
        <w:t xml:space="preserve"> multicarrier transmission (i.e. carrier aggregation)</w:t>
      </w:r>
      <w:r w:rsidR="00ED23BE">
        <w:rPr>
          <w:sz w:val="22"/>
          <w:szCs w:val="22"/>
        </w:rPr>
        <w:t xml:space="preserve"> equal to 2.16 GHz</w:t>
      </w:r>
      <w:r>
        <w:rPr>
          <w:sz w:val="22"/>
          <w:szCs w:val="22"/>
        </w:rPr>
        <w:t>,</w:t>
      </w:r>
    </w:p>
    <w:p w14:paraId="500B471C" w14:textId="4C0E91D2" w:rsidR="00523E3D" w:rsidRDefault="00ED23BE" w:rsidP="00490012">
      <w:pPr>
        <w:jc w:val="both"/>
        <w:rPr>
          <w:sz w:val="22"/>
          <w:szCs w:val="22"/>
        </w:rPr>
      </w:pPr>
      <w:r>
        <w:rPr>
          <w:sz w:val="22"/>
          <w:szCs w:val="22"/>
        </w:rPr>
        <w:t>the CCA BW is equal to the nominal BW but both are greater than the constituent operating BWs</w:t>
      </w:r>
      <w:r>
        <w:rPr>
          <w:sz w:val="22"/>
          <w:szCs w:val="22"/>
        </w:rPr>
        <w:t xml:space="preserve"> (</w:t>
      </w:r>
      <w:r>
        <w:rPr>
          <w:sz w:val="22"/>
          <w:szCs w:val="22"/>
        </w:rPr>
        <w:fldChar w:fldCharType="begin"/>
      </w:r>
      <w:r>
        <w:rPr>
          <w:sz w:val="22"/>
          <w:szCs w:val="22"/>
        </w:rPr>
        <w:instrText xml:space="preserve"> REF _Ref53767211 \h </w:instrText>
      </w:r>
      <w:r>
        <w:rPr>
          <w:sz w:val="22"/>
          <w:szCs w:val="22"/>
        </w:rPr>
      </w:r>
      <w:r>
        <w:rPr>
          <w:sz w:val="22"/>
          <w:szCs w:val="22"/>
        </w:rPr>
        <w:fldChar w:fldCharType="separate"/>
      </w:r>
      <w:r>
        <w:t xml:space="preserve">Figure </w:t>
      </w:r>
      <w:r>
        <w:rPr>
          <w:noProof/>
        </w:rPr>
        <w:t>1</w:t>
      </w:r>
      <w:r>
        <w:rPr>
          <w:sz w:val="22"/>
          <w:szCs w:val="22"/>
        </w:rPr>
        <w:fldChar w:fldCharType="end"/>
      </w:r>
      <w:r>
        <w:rPr>
          <w:sz w:val="22"/>
          <w:szCs w:val="22"/>
        </w:rPr>
        <w:t>)</w:t>
      </w:r>
      <w:r>
        <w:rPr>
          <w:sz w:val="22"/>
          <w:szCs w:val="22"/>
        </w:rPr>
        <w:t>.</w:t>
      </w:r>
      <w:r>
        <w:rPr>
          <w:sz w:val="22"/>
          <w:szCs w:val="22"/>
        </w:rPr>
        <w:t xml:space="preserve"> </w:t>
      </w:r>
      <w:r w:rsidR="00497F47">
        <w:rPr>
          <w:sz w:val="22"/>
          <w:szCs w:val="22"/>
        </w:rPr>
        <w:t xml:space="preserve">Note that this </w:t>
      </w:r>
      <w:r w:rsidR="004F1A3E">
        <w:rPr>
          <w:sz w:val="22"/>
          <w:szCs w:val="22"/>
        </w:rPr>
        <w:t xml:space="preserve">mode </w:t>
      </w:r>
      <w:r w:rsidR="00497F47">
        <w:rPr>
          <w:sz w:val="22"/>
          <w:szCs w:val="22"/>
        </w:rPr>
        <w:t xml:space="preserve">is different from &lt; 7 GHz in which the </w:t>
      </w:r>
      <w:r w:rsidR="004F1A3E">
        <w:rPr>
          <w:sz w:val="22"/>
          <w:szCs w:val="22"/>
        </w:rPr>
        <w:t>operating BW, the nominal BW and the CCA BW are all equal (</w:t>
      </w:r>
      <w:r w:rsidR="004F1A3E">
        <w:rPr>
          <w:sz w:val="22"/>
          <w:szCs w:val="22"/>
        </w:rPr>
        <w:fldChar w:fldCharType="begin"/>
      </w:r>
      <w:r w:rsidR="004F1A3E">
        <w:rPr>
          <w:sz w:val="22"/>
          <w:szCs w:val="22"/>
        </w:rPr>
        <w:instrText xml:space="preserve"> REF _Ref53739554 \h </w:instrText>
      </w:r>
      <w:r w:rsidR="004F1A3E">
        <w:rPr>
          <w:sz w:val="22"/>
          <w:szCs w:val="22"/>
        </w:rPr>
      </w:r>
      <w:r w:rsidR="004F1A3E">
        <w:rPr>
          <w:sz w:val="22"/>
          <w:szCs w:val="22"/>
        </w:rPr>
        <w:fldChar w:fldCharType="separate"/>
      </w:r>
      <w:r>
        <w:t xml:space="preserve">Figure </w:t>
      </w:r>
      <w:r>
        <w:rPr>
          <w:noProof/>
        </w:rPr>
        <w:t>2</w:t>
      </w:r>
      <w:r w:rsidR="004F1A3E">
        <w:rPr>
          <w:sz w:val="22"/>
          <w:szCs w:val="22"/>
        </w:rPr>
        <w:fldChar w:fldCharType="end"/>
      </w:r>
      <w:r w:rsidR="004F1A3E">
        <w:rPr>
          <w:sz w:val="22"/>
          <w:szCs w:val="22"/>
        </w:rPr>
        <w:t>)</w:t>
      </w:r>
      <w:r w:rsidR="00497F47">
        <w:rPr>
          <w:sz w:val="22"/>
          <w:szCs w:val="22"/>
        </w:rPr>
        <w:t xml:space="preserve">. In </w:t>
      </w:r>
      <w:r>
        <w:rPr>
          <w:sz w:val="22"/>
          <w:szCs w:val="22"/>
        </w:rPr>
        <w:t>Mode 1</w:t>
      </w:r>
      <w:r w:rsidR="004F1A3E">
        <w:rPr>
          <w:sz w:val="22"/>
          <w:szCs w:val="22"/>
        </w:rPr>
        <w:t>,</w:t>
      </w:r>
      <w:r w:rsidR="00497F47">
        <w:rPr>
          <w:sz w:val="22"/>
          <w:szCs w:val="22"/>
        </w:rPr>
        <w:t xml:space="preserve"> </w:t>
      </w:r>
      <w:r>
        <w:rPr>
          <w:sz w:val="22"/>
          <w:szCs w:val="22"/>
        </w:rPr>
        <w:t>e</w:t>
      </w:r>
      <w:r w:rsidR="00EF357E">
        <w:rPr>
          <w:sz w:val="22"/>
          <w:szCs w:val="22"/>
        </w:rPr>
        <w:t>ach component carrier may be measured and the total energy in all component carriers should be compared with the energy detection threshold on the nominal BW.</w:t>
      </w:r>
    </w:p>
    <w:p w14:paraId="181C0138" w14:textId="77777777" w:rsidR="00ED23BE" w:rsidRDefault="00ED23BE" w:rsidP="00ED23BE">
      <w:pPr>
        <w:keepNext/>
        <w:jc w:val="center"/>
      </w:pPr>
      <w:r w:rsidRPr="004F1A3E">
        <w:rPr>
          <w:noProof/>
          <w:sz w:val="22"/>
          <w:szCs w:val="22"/>
        </w:rPr>
        <w:drawing>
          <wp:inline distT="0" distB="0" distL="0" distR="0" wp14:anchorId="6E4F7E92" wp14:editId="7AB788BE">
            <wp:extent cx="4119239" cy="1024182"/>
            <wp:effectExtent l="0" t="0" r="0" b="5080"/>
            <wp:docPr id="1" name="Picture 1"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imeline&#10;&#10;Description automatically generated"/>
                    <pic:cNvPicPr/>
                  </pic:nvPicPr>
                  <pic:blipFill>
                    <a:blip r:embed="rId6"/>
                    <a:stretch>
                      <a:fillRect/>
                    </a:stretch>
                  </pic:blipFill>
                  <pic:spPr>
                    <a:xfrm>
                      <a:off x="0" y="0"/>
                      <a:ext cx="4147750" cy="1031271"/>
                    </a:xfrm>
                    <a:prstGeom prst="rect">
                      <a:avLst/>
                    </a:prstGeom>
                  </pic:spPr>
                </pic:pic>
              </a:graphicData>
            </a:graphic>
          </wp:inline>
        </w:drawing>
      </w:r>
    </w:p>
    <w:p w14:paraId="05677DBD" w14:textId="6FE0ACF8" w:rsidR="00ED23BE" w:rsidRDefault="00ED23BE" w:rsidP="00ED23BE">
      <w:pPr>
        <w:pStyle w:val="Caption"/>
        <w:rPr>
          <w:sz w:val="22"/>
          <w:szCs w:val="22"/>
        </w:rPr>
      </w:pPr>
      <w:bookmarkStart w:id="0" w:name="_Ref53767211"/>
      <w:r>
        <w:t xml:space="preserve">Figure </w:t>
      </w:r>
      <w:r>
        <w:fldChar w:fldCharType="begin"/>
      </w:r>
      <w:r>
        <w:instrText xml:space="preserve"> SEQ Figure \* ARABIC </w:instrText>
      </w:r>
      <w:r>
        <w:fldChar w:fldCharType="separate"/>
      </w:r>
      <w:r>
        <w:rPr>
          <w:noProof/>
        </w:rPr>
        <w:t>1</w:t>
      </w:r>
      <w:r>
        <w:rPr>
          <w:noProof/>
        </w:rPr>
        <w:fldChar w:fldCharType="end"/>
      </w:r>
      <w:bookmarkEnd w:id="0"/>
      <w:r>
        <w:t>: Channel BWs for Mode 1 with Carrier Aggregation</w:t>
      </w:r>
    </w:p>
    <w:p w14:paraId="3F9957EA" w14:textId="78CE8013" w:rsidR="004F1A3E" w:rsidRDefault="004F1A3E" w:rsidP="004F1A3E">
      <w:pPr>
        <w:jc w:val="both"/>
        <w:rPr>
          <w:sz w:val="22"/>
          <w:szCs w:val="22"/>
        </w:rPr>
      </w:pPr>
    </w:p>
    <w:p w14:paraId="6A630670" w14:textId="77777777" w:rsidR="004F1A3E" w:rsidRDefault="004F1A3E" w:rsidP="004F1A3E">
      <w:pPr>
        <w:keepNext/>
        <w:jc w:val="center"/>
      </w:pPr>
      <w:r w:rsidRPr="004F1A3E">
        <w:rPr>
          <w:noProof/>
          <w:sz w:val="22"/>
          <w:szCs w:val="22"/>
        </w:rPr>
        <w:drawing>
          <wp:inline distT="0" distB="0" distL="0" distR="0" wp14:anchorId="4074B3F3" wp14:editId="01CD4D29">
            <wp:extent cx="4145872" cy="1064481"/>
            <wp:effectExtent l="0" t="0" r="0" b="2540"/>
            <wp:docPr id="10"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bar chart&#10;&#10;Description automatically generated"/>
                    <pic:cNvPicPr/>
                  </pic:nvPicPr>
                  <pic:blipFill>
                    <a:blip r:embed="rId7"/>
                    <a:stretch>
                      <a:fillRect/>
                    </a:stretch>
                  </pic:blipFill>
                  <pic:spPr>
                    <a:xfrm>
                      <a:off x="0" y="0"/>
                      <a:ext cx="4173834" cy="1071660"/>
                    </a:xfrm>
                    <a:prstGeom prst="rect">
                      <a:avLst/>
                    </a:prstGeom>
                  </pic:spPr>
                </pic:pic>
              </a:graphicData>
            </a:graphic>
          </wp:inline>
        </w:drawing>
      </w:r>
    </w:p>
    <w:p w14:paraId="72992733" w14:textId="222C9910" w:rsidR="004F1A3E" w:rsidRDefault="004F1A3E" w:rsidP="004F1A3E">
      <w:pPr>
        <w:pStyle w:val="Caption"/>
        <w:rPr>
          <w:sz w:val="22"/>
          <w:szCs w:val="22"/>
        </w:rPr>
      </w:pPr>
      <w:bookmarkStart w:id="1" w:name="_Ref53739554"/>
      <w:r>
        <w:t xml:space="preserve">Figure </w:t>
      </w:r>
      <w:r w:rsidR="007B1791">
        <w:fldChar w:fldCharType="begin"/>
      </w:r>
      <w:r w:rsidR="007B1791">
        <w:instrText xml:space="preserve"> SEQ Figure \* ARABIC </w:instrText>
      </w:r>
      <w:r w:rsidR="007B1791">
        <w:fldChar w:fldCharType="separate"/>
      </w:r>
      <w:r w:rsidR="00ED23BE">
        <w:rPr>
          <w:noProof/>
        </w:rPr>
        <w:t>2</w:t>
      </w:r>
      <w:r w:rsidR="007B1791">
        <w:rPr>
          <w:noProof/>
        </w:rPr>
        <w:fldChar w:fldCharType="end"/>
      </w:r>
      <w:bookmarkEnd w:id="1"/>
      <w:r>
        <w:t>: Channel BWs for 5GHz access</w:t>
      </w:r>
    </w:p>
    <w:p w14:paraId="445002F0" w14:textId="4C8D8F12" w:rsidR="00497F47" w:rsidRDefault="00497F47" w:rsidP="00490012">
      <w:pPr>
        <w:jc w:val="both"/>
        <w:rPr>
          <w:sz w:val="22"/>
          <w:szCs w:val="22"/>
        </w:rPr>
      </w:pPr>
    </w:p>
    <w:p w14:paraId="1DBA9F30" w14:textId="75C20974" w:rsidR="00497F47" w:rsidRDefault="00EF357E" w:rsidP="00A20DBA">
      <w:pPr>
        <w:jc w:val="both"/>
        <w:rPr>
          <w:sz w:val="22"/>
          <w:szCs w:val="22"/>
        </w:rPr>
      </w:pPr>
      <w:r>
        <w:rPr>
          <w:sz w:val="22"/>
          <w:szCs w:val="22"/>
        </w:rPr>
        <w:t xml:space="preserve">For channel access </w:t>
      </w:r>
      <w:r w:rsidR="00ED23BE">
        <w:rPr>
          <w:sz w:val="22"/>
          <w:szCs w:val="22"/>
        </w:rPr>
        <w:t>M</w:t>
      </w:r>
      <w:r>
        <w:rPr>
          <w:sz w:val="22"/>
          <w:szCs w:val="22"/>
        </w:rPr>
        <w:t xml:space="preserve">ode 2 i.e. </w:t>
      </w:r>
      <w:r w:rsidR="007977DB" w:rsidRPr="007977DB">
        <w:rPr>
          <w:sz w:val="22"/>
          <w:szCs w:val="22"/>
        </w:rPr>
        <w:t xml:space="preserve">the case that RAN1 selects an operating channel </w:t>
      </w:r>
      <w:r>
        <w:rPr>
          <w:sz w:val="22"/>
          <w:szCs w:val="22"/>
        </w:rPr>
        <w:t>BW</w:t>
      </w:r>
      <w:r w:rsidR="007977DB" w:rsidRPr="007977DB">
        <w:rPr>
          <w:sz w:val="22"/>
          <w:szCs w:val="22"/>
        </w:rPr>
        <w:t xml:space="preserve"> less than 2.16 GHz</w:t>
      </w:r>
      <w:r>
        <w:rPr>
          <w:sz w:val="22"/>
          <w:szCs w:val="22"/>
        </w:rPr>
        <w:t xml:space="preserve">, the </w:t>
      </w:r>
      <w:r w:rsidR="00ED23BE">
        <w:rPr>
          <w:sz w:val="22"/>
          <w:szCs w:val="22"/>
        </w:rPr>
        <w:t>LBT mechanism</w:t>
      </w:r>
      <w:r>
        <w:rPr>
          <w:sz w:val="22"/>
          <w:szCs w:val="22"/>
        </w:rPr>
        <w:t xml:space="preserve"> to enable fair coexistence with </w:t>
      </w:r>
      <w:r w:rsidR="00B826ED">
        <w:rPr>
          <w:sz w:val="22"/>
          <w:szCs w:val="22"/>
        </w:rPr>
        <w:t>the existing RATs</w:t>
      </w:r>
      <w:r w:rsidR="007B1791">
        <w:rPr>
          <w:sz w:val="22"/>
          <w:szCs w:val="22"/>
        </w:rPr>
        <w:t xml:space="preserve"> needs to be defined</w:t>
      </w:r>
      <w:r w:rsidR="00B826ED">
        <w:rPr>
          <w:sz w:val="22"/>
          <w:szCs w:val="22"/>
        </w:rPr>
        <w:t>.</w:t>
      </w:r>
      <w:r w:rsidR="00497F47">
        <w:rPr>
          <w:sz w:val="22"/>
          <w:szCs w:val="22"/>
        </w:rPr>
        <w:t xml:space="preserve"> I</w:t>
      </w:r>
      <w:r w:rsidR="00A20DBA" w:rsidRPr="00A20DBA">
        <w:rPr>
          <w:sz w:val="22"/>
          <w:szCs w:val="22"/>
        </w:rPr>
        <w:t xml:space="preserve">f </w:t>
      </w:r>
      <w:r w:rsidR="00497F47">
        <w:rPr>
          <w:sz w:val="22"/>
          <w:szCs w:val="22"/>
        </w:rPr>
        <w:t xml:space="preserve">the </w:t>
      </w:r>
      <w:r w:rsidR="00A20DBA" w:rsidRPr="00A20DBA">
        <w:rPr>
          <w:sz w:val="22"/>
          <w:szCs w:val="22"/>
        </w:rPr>
        <w:t xml:space="preserve">CCA bandwidth is the same as </w:t>
      </w:r>
      <w:r>
        <w:rPr>
          <w:sz w:val="22"/>
          <w:szCs w:val="22"/>
        </w:rPr>
        <w:t xml:space="preserve">operating </w:t>
      </w:r>
      <w:r w:rsidR="00A20DBA" w:rsidRPr="00A20DBA">
        <w:rPr>
          <w:sz w:val="22"/>
          <w:szCs w:val="22"/>
        </w:rPr>
        <w:t xml:space="preserve"> bandwidth, </w:t>
      </w:r>
      <w:r w:rsidR="007B1791">
        <w:rPr>
          <w:sz w:val="22"/>
          <w:szCs w:val="22"/>
        </w:rPr>
        <w:t xml:space="preserve">but smaller than the nominal BW, </w:t>
      </w:r>
      <w:r w:rsidR="00A20DBA" w:rsidRPr="00A20DBA">
        <w:rPr>
          <w:sz w:val="22"/>
          <w:szCs w:val="22"/>
        </w:rPr>
        <w:t xml:space="preserve">it can be considered unfair for </w:t>
      </w:r>
      <w:r w:rsidR="00497F47">
        <w:rPr>
          <w:sz w:val="22"/>
          <w:szCs w:val="22"/>
        </w:rPr>
        <w:t xml:space="preserve">the </w:t>
      </w:r>
      <w:r w:rsidR="00A20DBA" w:rsidRPr="00A20DBA">
        <w:rPr>
          <w:sz w:val="22"/>
          <w:szCs w:val="22"/>
        </w:rPr>
        <w:t>other technology</w:t>
      </w:r>
      <w:r w:rsidR="007B1791">
        <w:rPr>
          <w:sz w:val="22"/>
          <w:szCs w:val="22"/>
        </w:rPr>
        <w:t xml:space="preserve"> (</w:t>
      </w:r>
      <w:r w:rsidR="007B1791">
        <w:rPr>
          <w:sz w:val="22"/>
          <w:szCs w:val="22"/>
        </w:rPr>
        <w:fldChar w:fldCharType="begin"/>
      </w:r>
      <w:r w:rsidR="007B1791">
        <w:rPr>
          <w:sz w:val="22"/>
          <w:szCs w:val="22"/>
        </w:rPr>
        <w:instrText xml:space="preserve"> REF _Ref53767351 \h </w:instrText>
      </w:r>
      <w:r w:rsidR="007B1791">
        <w:rPr>
          <w:sz w:val="22"/>
          <w:szCs w:val="22"/>
        </w:rPr>
      </w:r>
      <w:r w:rsidR="007B1791">
        <w:rPr>
          <w:sz w:val="22"/>
          <w:szCs w:val="22"/>
        </w:rPr>
        <w:fldChar w:fldCharType="separate"/>
      </w:r>
      <w:r w:rsidR="007B1791">
        <w:t xml:space="preserve">Figure </w:t>
      </w:r>
      <w:r w:rsidR="007B1791">
        <w:rPr>
          <w:noProof/>
        </w:rPr>
        <w:t>3</w:t>
      </w:r>
      <w:r w:rsidR="007B1791">
        <w:rPr>
          <w:sz w:val="22"/>
          <w:szCs w:val="22"/>
        </w:rPr>
        <w:fldChar w:fldCharType="end"/>
      </w:r>
      <w:r w:rsidR="007B1791">
        <w:rPr>
          <w:sz w:val="22"/>
          <w:szCs w:val="22"/>
        </w:rPr>
        <w:t>)</w:t>
      </w:r>
      <w:r w:rsidR="00497F47">
        <w:rPr>
          <w:sz w:val="22"/>
          <w:szCs w:val="22"/>
        </w:rPr>
        <w:t>. In this case</w:t>
      </w:r>
      <w:r w:rsidR="007B1791">
        <w:rPr>
          <w:sz w:val="22"/>
          <w:szCs w:val="22"/>
        </w:rPr>
        <w:t>,</w:t>
      </w:r>
      <w:r w:rsidR="00497F47">
        <w:rPr>
          <w:sz w:val="22"/>
          <w:szCs w:val="22"/>
        </w:rPr>
        <w:t xml:space="preserve"> we </w:t>
      </w:r>
      <w:r w:rsidR="00A20DBA" w:rsidRPr="00A20DBA">
        <w:rPr>
          <w:sz w:val="22"/>
          <w:szCs w:val="22"/>
        </w:rPr>
        <w:t xml:space="preserve"> define </w:t>
      </w:r>
      <w:r w:rsidR="00497F47">
        <w:rPr>
          <w:sz w:val="22"/>
          <w:szCs w:val="22"/>
        </w:rPr>
        <w:t xml:space="preserve"> the </w:t>
      </w:r>
      <w:r w:rsidR="00A20DBA" w:rsidRPr="00A20DBA">
        <w:rPr>
          <w:sz w:val="22"/>
          <w:szCs w:val="22"/>
        </w:rPr>
        <w:t>“nominal CCA bandwidth” as 2.16GHz</w:t>
      </w:r>
      <w:r w:rsidR="00497F47">
        <w:rPr>
          <w:sz w:val="22"/>
          <w:szCs w:val="22"/>
        </w:rPr>
        <w:t xml:space="preserve"> and </w:t>
      </w:r>
      <w:r w:rsidR="00A20DBA" w:rsidRPr="00A20DBA">
        <w:rPr>
          <w:sz w:val="22"/>
          <w:szCs w:val="22"/>
        </w:rPr>
        <w:t xml:space="preserve">scale the CCA threshold with the </w:t>
      </w:r>
      <w:r>
        <w:rPr>
          <w:sz w:val="22"/>
          <w:szCs w:val="22"/>
        </w:rPr>
        <w:t>operating</w:t>
      </w:r>
      <w:r w:rsidR="00A20DBA" w:rsidRPr="00A20DBA">
        <w:rPr>
          <w:sz w:val="22"/>
          <w:szCs w:val="22"/>
        </w:rPr>
        <w:t xml:space="preserve"> bandwidth</w:t>
      </w:r>
      <w:r w:rsidR="00497F47">
        <w:rPr>
          <w:sz w:val="22"/>
          <w:szCs w:val="22"/>
        </w:rPr>
        <w:t>.</w:t>
      </w:r>
    </w:p>
    <w:p w14:paraId="4A7F61CE" w14:textId="7CD54B67" w:rsidR="00A20DBA" w:rsidRPr="00A20DBA" w:rsidRDefault="00A20DBA" w:rsidP="00A20DBA">
      <w:pPr>
        <w:jc w:val="both"/>
        <w:rPr>
          <w:sz w:val="22"/>
          <w:szCs w:val="22"/>
        </w:rPr>
      </w:pPr>
      <w:r w:rsidRPr="00A20DBA">
        <w:rPr>
          <w:sz w:val="22"/>
          <w:szCs w:val="22"/>
        </w:rPr>
        <w:t xml:space="preserve">  </w:t>
      </w:r>
    </w:p>
    <w:p w14:paraId="0AE3F44E" w14:textId="3070A80D" w:rsidR="00EF357E" w:rsidRDefault="00A20DBA" w:rsidP="00EF357E">
      <w:pPr>
        <w:jc w:val="center"/>
        <w:rPr>
          <w:sz w:val="22"/>
          <w:szCs w:val="22"/>
        </w:rPr>
      </w:pPr>
      <w:r w:rsidRPr="00A20DBA">
        <w:rPr>
          <w:sz w:val="22"/>
          <w:szCs w:val="22"/>
        </w:rPr>
        <w:t>CCA threshold = -47dBm + 10*log10(Pmax/Pout) + 10*log10(CCA BW / Nominal CCA BW)</w:t>
      </w:r>
      <w:r w:rsidR="00497F47">
        <w:rPr>
          <w:sz w:val="22"/>
          <w:szCs w:val="22"/>
        </w:rPr>
        <w:t>.</w:t>
      </w:r>
    </w:p>
    <w:p w14:paraId="78B86720" w14:textId="77777777" w:rsidR="00EF357E" w:rsidRDefault="00EF357E" w:rsidP="00A20DBA">
      <w:pPr>
        <w:jc w:val="both"/>
        <w:rPr>
          <w:sz w:val="22"/>
          <w:szCs w:val="22"/>
        </w:rPr>
      </w:pPr>
    </w:p>
    <w:p w14:paraId="60576FBD" w14:textId="7FC3F675" w:rsidR="00A20DBA" w:rsidRPr="00A20DBA" w:rsidRDefault="00A20DBA" w:rsidP="00A20DBA">
      <w:pPr>
        <w:jc w:val="both"/>
        <w:rPr>
          <w:sz w:val="22"/>
          <w:szCs w:val="22"/>
        </w:rPr>
      </w:pPr>
      <w:r w:rsidRPr="00A20DBA">
        <w:rPr>
          <w:sz w:val="22"/>
          <w:szCs w:val="22"/>
        </w:rPr>
        <w:lastRenderedPageBreak/>
        <w:t xml:space="preserve">For example, </w:t>
      </w:r>
      <w:r w:rsidR="007B1791">
        <w:rPr>
          <w:sz w:val="22"/>
          <w:szCs w:val="22"/>
        </w:rPr>
        <w:t>for if the</w:t>
      </w:r>
      <w:r w:rsidRPr="00A20DBA">
        <w:rPr>
          <w:sz w:val="22"/>
          <w:szCs w:val="22"/>
        </w:rPr>
        <w:t xml:space="preserve"> system BW is 1.08GHz, Nominal CCA BW = 2.16GHz, </w:t>
      </w:r>
      <w:r w:rsidR="007B1791">
        <w:rPr>
          <w:sz w:val="22"/>
          <w:szCs w:val="22"/>
        </w:rPr>
        <w:t xml:space="preserve">and </w:t>
      </w:r>
      <w:r w:rsidRPr="00A20DBA">
        <w:rPr>
          <w:sz w:val="22"/>
          <w:szCs w:val="22"/>
        </w:rPr>
        <w:t xml:space="preserve">Pmax = Pout, then </w:t>
      </w:r>
      <w:r w:rsidR="007B1791">
        <w:rPr>
          <w:sz w:val="22"/>
          <w:szCs w:val="22"/>
        </w:rPr>
        <w:t xml:space="preserve">the </w:t>
      </w:r>
      <w:r w:rsidRPr="00A20DBA">
        <w:rPr>
          <w:sz w:val="22"/>
          <w:szCs w:val="22"/>
        </w:rPr>
        <w:t>CCA threshold = -47dBm - 3dBm = -50dBm</w:t>
      </w:r>
    </w:p>
    <w:p w14:paraId="60CBAD2B" w14:textId="00BF29B6" w:rsidR="00A20DBA" w:rsidRDefault="00A20DBA" w:rsidP="0014015E">
      <w:pPr>
        <w:jc w:val="both"/>
        <w:rPr>
          <w:sz w:val="22"/>
          <w:szCs w:val="22"/>
        </w:rPr>
      </w:pPr>
    </w:p>
    <w:p w14:paraId="347D0FC4" w14:textId="7CA54333" w:rsidR="00EF357E" w:rsidRDefault="00EF357E" w:rsidP="00EF357E">
      <w:pPr>
        <w:keepNext/>
        <w:jc w:val="center"/>
      </w:pPr>
      <w:r w:rsidRPr="00EF357E">
        <w:rPr>
          <w:noProof/>
        </w:rPr>
        <w:drawing>
          <wp:inline distT="0" distB="0" distL="0" distR="0" wp14:anchorId="6B0FFAD4" wp14:editId="209D38FC">
            <wp:extent cx="4101483" cy="988446"/>
            <wp:effectExtent l="0" t="0" r="635" b="2540"/>
            <wp:docPr id="13" name="Picture 13" descr="A picture containing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bar chart&#10;&#10;Description automatically generated"/>
                    <pic:cNvPicPr/>
                  </pic:nvPicPr>
                  <pic:blipFill>
                    <a:blip r:embed="rId8"/>
                    <a:stretch>
                      <a:fillRect/>
                    </a:stretch>
                  </pic:blipFill>
                  <pic:spPr>
                    <a:xfrm>
                      <a:off x="0" y="0"/>
                      <a:ext cx="4121176" cy="993192"/>
                    </a:xfrm>
                    <a:prstGeom prst="rect">
                      <a:avLst/>
                    </a:prstGeom>
                  </pic:spPr>
                </pic:pic>
              </a:graphicData>
            </a:graphic>
          </wp:inline>
        </w:drawing>
      </w:r>
    </w:p>
    <w:p w14:paraId="40AFCB7D" w14:textId="3AF30ED3" w:rsidR="00A20DBA" w:rsidRDefault="00EF357E" w:rsidP="00EF357E">
      <w:pPr>
        <w:pStyle w:val="Caption"/>
        <w:rPr>
          <w:sz w:val="22"/>
          <w:szCs w:val="22"/>
        </w:rPr>
      </w:pPr>
      <w:bookmarkStart w:id="2" w:name="_Ref53767351"/>
      <w:r>
        <w:t xml:space="preserve">Figure </w:t>
      </w:r>
      <w:r w:rsidR="007B1791">
        <w:fldChar w:fldCharType="begin"/>
      </w:r>
      <w:r w:rsidR="007B1791">
        <w:instrText xml:space="preserve"> SEQ Figure \* ARABIC </w:instrText>
      </w:r>
      <w:r w:rsidR="007B1791">
        <w:fldChar w:fldCharType="separate"/>
      </w:r>
      <w:r w:rsidR="006B3305">
        <w:rPr>
          <w:noProof/>
        </w:rPr>
        <w:t>3</w:t>
      </w:r>
      <w:r w:rsidR="007B1791">
        <w:rPr>
          <w:noProof/>
        </w:rPr>
        <w:fldChar w:fldCharType="end"/>
      </w:r>
      <w:bookmarkEnd w:id="2"/>
      <w:r>
        <w:t>: Channel BWs for Mode 2</w:t>
      </w:r>
    </w:p>
    <w:p w14:paraId="2A851B90" w14:textId="77777777" w:rsidR="00A20DBA" w:rsidRDefault="00A20DBA" w:rsidP="0014015E">
      <w:pPr>
        <w:jc w:val="both"/>
        <w:rPr>
          <w:sz w:val="22"/>
          <w:szCs w:val="22"/>
        </w:rPr>
      </w:pPr>
    </w:p>
    <w:p w14:paraId="5406B741" w14:textId="6D12D802" w:rsidR="002C0AB0" w:rsidRDefault="00B826ED" w:rsidP="0014015E">
      <w:pPr>
        <w:jc w:val="both"/>
        <w:rPr>
          <w:sz w:val="22"/>
          <w:szCs w:val="22"/>
        </w:rPr>
      </w:pPr>
      <w:r>
        <w:rPr>
          <w:sz w:val="22"/>
          <w:szCs w:val="22"/>
        </w:rPr>
        <w:t>In summary</w:t>
      </w:r>
      <w:r w:rsidR="001572A4" w:rsidRPr="0014015E">
        <w:rPr>
          <w:sz w:val="22"/>
          <w:szCs w:val="22"/>
        </w:rPr>
        <w:t>, unlike NR</w:t>
      </w:r>
      <w:r w:rsidR="0014015E">
        <w:rPr>
          <w:sz w:val="22"/>
          <w:szCs w:val="22"/>
        </w:rPr>
        <w:t xml:space="preserve">-U in the 5 GHz bandwidth </w:t>
      </w:r>
      <w:r w:rsidR="001572A4" w:rsidRPr="0014015E">
        <w:rPr>
          <w:sz w:val="22"/>
          <w:szCs w:val="22"/>
        </w:rPr>
        <w:t xml:space="preserve">where the </w:t>
      </w:r>
      <w:r w:rsidR="0014015E">
        <w:rPr>
          <w:sz w:val="22"/>
          <w:szCs w:val="22"/>
        </w:rPr>
        <w:t>operating</w:t>
      </w:r>
      <w:r w:rsidR="001572A4" w:rsidRPr="0014015E">
        <w:rPr>
          <w:sz w:val="22"/>
          <w:szCs w:val="22"/>
        </w:rPr>
        <w:t xml:space="preserve"> bandwidth </w:t>
      </w:r>
      <w:r>
        <w:rPr>
          <w:sz w:val="22"/>
          <w:szCs w:val="22"/>
        </w:rPr>
        <w:t xml:space="preserve">is </w:t>
      </w:r>
      <w:r w:rsidR="0014015E">
        <w:rPr>
          <w:sz w:val="22"/>
          <w:szCs w:val="22"/>
        </w:rPr>
        <w:t xml:space="preserve">explicitly defined as </w:t>
      </w:r>
      <w:r w:rsidR="001572A4" w:rsidRPr="0014015E">
        <w:rPr>
          <w:sz w:val="22"/>
          <w:szCs w:val="22"/>
        </w:rPr>
        <w:t xml:space="preserve">equal to 20 MHz, </w:t>
      </w:r>
      <w:r w:rsidR="0014015E">
        <w:rPr>
          <w:sz w:val="22"/>
          <w:szCs w:val="22"/>
        </w:rPr>
        <w:t>unlicensed access in the 60 GHz range</w:t>
      </w:r>
      <w:r>
        <w:rPr>
          <w:sz w:val="22"/>
          <w:szCs w:val="22"/>
        </w:rPr>
        <w:t xml:space="preserve"> </w:t>
      </w:r>
      <w:r w:rsidR="004578FD" w:rsidRPr="0014015E">
        <w:rPr>
          <w:sz w:val="22"/>
          <w:szCs w:val="22"/>
        </w:rPr>
        <w:t xml:space="preserve">may </w:t>
      </w:r>
      <w:r w:rsidR="00EF1E3D" w:rsidRPr="0014015E">
        <w:rPr>
          <w:sz w:val="22"/>
          <w:szCs w:val="22"/>
        </w:rPr>
        <w:t xml:space="preserve">require </w:t>
      </w:r>
      <w:r w:rsidR="00EF357E">
        <w:rPr>
          <w:sz w:val="22"/>
          <w:szCs w:val="22"/>
        </w:rPr>
        <w:t xml:space="preserve">modifications to the </w:t>
      </w:r>
      <w:r w:rsidR="00EF1E3D" w:rsidRPr="0014015E">
        <w:rPr>
          <w:sz w:val="22"/>
          <w:szCs w:val="22"/>
        </w:rPr>
        <w:t xml:space="preserve"> </w:t>
      </w:r>
      <w:r w:rsidR="00A2030C">
        <w:rPr>
          <w:sz w:val="22"/>
          <w:szCs w:val="22"/>
        </w:rPr>
        <w:t>CCA measurement</w:t>
      </w:r>
      <w:r w:rsidR="00EF1E3D" w:rsidRPr="0014015E">
        <w:rPr>
          <w:sz w:val="22"/>
          <w:szCs w:val="22"/>
        </w:rPr>
        <w:t xml:space="preserve"> </w:t>
      </w:r>
      <w:r w:rsidR="001207E3">
        <w:rPr>
          <w:sz w:val="22"/>
          <w:szCs w:val="22"/>
        </w:rPr>
        <w:t>procedures</w:t>
      </w:r>
      <w:r w:rsidR="00EF1E3D" w:rsidRPr="0014015E">
        <w:rPr>
          <w:sz w:val="22"/>
          <w:szCs w:val="22"/>
        </w:rPr>
        <w:t xml:space="preserve"> to ensure that </w:t>
      </w:r>
      <w:r w:rsidR="001207E3">
        <w:rPr>
          <w:sz w:val="22"/>
          <w:szCs w:val="22"/>
        </w:rPr>
        <w:t>existing</w:t>
      </w:r>
      <w:r w:rsidR="0014015E">
        <w:rPr>
          <w:sz w:val="22"/>
          <w:szCs w:val="22"/>
        </w:rPr>
        <w:t xml:space="preserve"> RATs are protected</w:t>
      </w:r>
      <w:r>
        <w:rPr>
          <w:sz w:val="22"/>
          <w:szCs w:val="22"/>
        </w:rPr>
        <w:t xml:space="preserve"> as the regulations do not explicitly mandate a value for the operating bandwidth</w:t>
      </w:r>
      <w:r w:rsidR="007B1791">
        <w:rPr>
          <w:sz w:val="22"/>
          <w:szCs w:val="22"/>
        </w:rPr>
        <w:t>, CCA bandwidth or nominal bandwidth</w:t>
      </w:r>
      <w:r>
        <w:rPr>
          <w:sz w:val="22"/>
          <w:szCs w:val="22"/>
        </w:rPr>
        <w:t>.</w:t>
      </w:r>
    </w:p>
    <w:p w14:paraId="448F1ABC" w14:textId="77777777" w:rsidR="002C0AB0" w:rsidRPr="002758D3" w:rsidRDefault="002C0AB0" w:rsidP="001572A4">
      <w:pPr>
        <w:rPr>
          <w:sz w:val="22"/>
          <w:szCs w:val="22"/>
        </w:rPr>
      </w:pPr>
    </w:p>
    <w:p w14:paraId="732CB4C5" w14:textId="714719A2" w:rsidR="00A20DBA" w:rsidRPr="00A20DBA" w:rsidRDefault="00EF357E" w:rsidP="00EF357E">
      <w:pPr>
        <w:tabs>
          <w:tab w:val="left" w:pos="640"/>
        </w:tabs>
        <w:jc w:val="both"/>
        <w:rPr>
          <w:i/>
          <w:iCs/>
          <w:sz w:val="22"/>
          <w:szCs w:val="22"/>
        </w:rPr>
      </w:pPr>
      <w:r w:rsidRPr="00EF357E">
        <w:rPr>
          <w:b/>
          <w:bCs/>
          <w:i/>
          <w:iCs/>
          <w:sz w:val="22"/>
          <w:szCs w:val="22"/>
        </w:rPr>
        <w:t xml:space="preserve">Proposal </w:t>
      </w:r>
      <w:r>
        <w:rPr>
          <w:b/>
          <w:bCs/>
          <w:i/>
          <w:iCs/>
          <w:sz w:val="22"/>
          <w:szCs w:val="22"/>
        </w:rPr>
        <w:t>3</w:t>
      </w:r>
      <w:r w:rsidR="00A20DBA" w:rsidRPr="00A20DBA">
        <w:rPr>
          <w:b/>
          <w:bCs/>
          <w:i/>
          <w:iCs/>
          <w:sz w:val="22"/>
          <w:szCs w:val="22"/>
        </w:rPr>
        <w:t>:</w:t>
      </w:r>
      <w:r w:rsidR="00A20DBA" w:rsidRPr="00A20DBA">
        <w:rPr>
          <w:i/>
          <w:iCs/>
          <w:sz w:val="22"/>
          <w:szCs w:val="22"/>
        </w:rPr>
        <w:t xml:space="preserve"> Channel Access Mechanisms for single-carrier and multi-carrier modes should be supported.</w:t>
      </w:r>
    </w:p>
    <w:p w14:paraId="151FECFE" w14:textId="785BC49E" w:rsidR="00A20DBA" w:rsidRPr="00EF357E" w:rsidRDefault="00A20DBA" w:rsidP="00790F07">
      <w:pPr>
        <w:pStyle w:val="ListParagraph"/>
        <w:numPr>
          <w:ilvl w:val="0"/>
          <w:numId w:val="9"/>
        </w:numPr>
        <w:ind w:leftChars="0"/>
        <w:jc w:val="both"/>
        <w:rPr>
          <w:i/>
          <w:iCs/>
          <w:sz w:val="22"/>
          <w:szCs w:val="22"/>
        </w:rPr>
      </w:pPr>
      <w:r w:rsidRPr="00EF357E">
        <w:rPr>
          <w:i/>
          <w:iCs/>
          <w:sz w:val="22"/>
          <w:szCs w:val="22"/>
        </w:rPr>
        <w:t xml:space="preserve">When LBT is used, </w:t>
      </w:r>
      <w:r w:rsidR="007B1791">
        <w:rPr>
          <w:i/>
          <w:iCs/>
          <w:sz w:val="22"/>
          <w:szCs w:val="22"/>
        </w:rPr>
        <w:t>support</w:t>
      </w:r>
      <w:r w:rsidRPr="00EF357E">
        <w:rPr>
          <w:i/>
          <w:iCs/>
          <w:sz w:val="22"/>
          <w:szCs w:val="22"/>
        </w:rPr>
        <w:t xml:space="preserve"> channel access mechanisms assuming CCA on a bandwidth greater than the operating bandwidth</w:t>
      </w:r>
    </w:p>
    <w:p w14:paraId="04D396D5" w14:textId="20996281" w:rsidR="00A20DBA" w:rsidRPr="00A20DBA" w:rsidRDefault="00A20DBA" w:rsidP="00790F07">
      <w:pPr>
        <w:numPr>
          <w:ilvl w:val="0"/>
          <w:numId w:val="8"/>
        </w:numPr>
        <w:jc w:val="both"/>
        <w:rPr>
          <w:i/>
          <w:iCs/>
          <w:sz w:val="22"/>
          <w:szCs w:val="22"/>
        </w:rPr>
      </w:pPr>
      <w:r w:rsidRPr="00A20DBA">
        <w:rPr>
          <w:i/>
          <w:iCs/>
          <w:sz w:val="22"/>
          <w:szCs w:val="22"/>
        </w:rPr>
        <w:t xml:space="preserve">Allow support for multi-carrier CCA where each carrier is smaller than the </w:t>
      </w:r>
      <w:r w:rsidR="00D351ED">
        <w:rPr>
          <w:i/>
          <w:iCs/>
          <w:sz w:val="22"/>
          <w:szCs w:val="22"/>
        </w:rPr>
        <w:t>CCA</w:t>
      </w:r>
      <w:r w:rsidRPr="00A20DBA">
        <w:rPr>
          <w:i/>
          <w:iCs/>
          <w:sz w:val="22"/>
          <w:szCs w:val="22"/>
        </w:rPr>
        <w:t xml:space="preserve"> bandwidth. </w:t>
      </w:r>
    </w:p>
    <w:p w14:paraId="444E1297" w14:textId="339C0BDA" w:rsidR="00A20DBA" w:rsidRPr="00A20DBA" w:rsidRDefault="00A20DBA" w:rsidP="00790F07">
      <w:pPr>
        <w:numPr>
          <w:ilvl w:val="0"/>
          <w:numId w:val="8"/>
        </w:numPr>
        <w:jc w:val="both"/>
        <w:rPr>
          <w:i/>
          <w:iCs/>
          <w:sz w:val="22"/>
          <w:szCs w:val="22"/>
        </w:rPr>
      </w:pPr>
      <w:r w:rsidRPr="00A20DBA">
        <w:rPr>
          <w:i/>
          <w:iCs/>
          <w:sz w:val="22"/>
          <w:szCs w:val="22"/>
        </w:rPr>
        <w:t xml:space="preserve">Allow support for single-carrier CCA which is smaller than the </w:t>
      </w:r>
      <w:r w:rsidR="00D351ED">
        <w:rPr>
          <w:i/>
          <w:iCs/>
          <w:sz w:val="22"/>
          <w:szCs w:val="22"/>
        </w:rPr>
        <w:t>CCA</w:t>
      </w:r>
      <w:r w:rsidRPr="00A20DBA">
        <w:rPr>
          <w:i/>
          <w:iCs/>
          <w:sz w:val="22"/>
          <w:szCs w:val="22"/>
        </w:rPr>
        <w:t xml:space="preserve"> bandwidth</w:t>
      </w:r>
    </w:p>
    <w:p w14:paraId="722FD8D3" w14:textId="77777777" w:rsidR="00A20DBA" w:rsidRPr="002758D3" w:rsidRDefault="00A20DBA" w:rsidP="00EF1E3D">
      <w:pPr>
        <w:jc w:val="both"/>
        <w:rPr>
          <w:i/>
          <w:iCs/>
          <w:sz w:val="22"/>
          <w:szCs w:val="22"/>
        </w:rPr>
      </w:pPr>
    </w:p>
    <w:p w14:paraId="024E8088" w14:textId="6CAD8F08" w:rsidR="00497F47" w:rsidRDefault="00497F47" w:rsidP="00497F47">
      <w:pPr>
        <w:pStyle w:val="Heading3"/>
      </w:pPr>
      <w:r>
        <w:t>Omni-directional and Directional LBT</w:t>
      </w:r>
    </w:p>
    <w:p w14:paraId="06B8C2D8" w14:textId="70CB5B46" w:rsidR="00E1659D" w:rsidRDefault="00E1659D" w:rsidP="00E1659D">
      <w:pPr>
        <w:jc w:val="both"/>
        <w:rPr>
          <w:sz w:val="22"/>
          <w:szCs w:val="22"/>
        </w:rPr>
      </w:pPr>
      <w:r>
        <w:rPr>
          <w:sz w:val="22"/>
          <w:szCs w:val="22"/>
        </w:rPr>
        <w:t>There are</w:t>
      </w:r>
      <w:r w:rsidRPr="002758D3">
        <w:rPr>
          <w:sz w:val="22"/>
          <w:szCs w:val="22"/>
        </w:rPr>
        <w:t xml:space="preserve"> certain limitations associated with LBT</w:t>
      </w:r>
      <w:r w:rsidR="00EF357E">
        <w:rPr>
          <w:sz w:val="22"/>
          <w:szCs w:val="22"/>
        </w:rPr>
        <w:t xml:space="preserve"> </w:t>
      </w:r>
      <w:r w:rsidRPr="002758D3">
        <w:rPr>
          <w:sz w:val="22"/>
          <w:szCs w:val="22"/>
        </w:rPr>
        <w:t>in the following scenarios:</w:t>
      </w:r>
    </w:p>
    <w:p w14:paraId="79178CB1" w14:textId="77777777" w:rsidR="00E1659D" w:rsidRPr="002758D3" w:rsidRDefault="00E1659D" w:rsidP="00E1659D">
      <w:pPr>
        <w:jc w:val="both"/>
        <w:rPr>
          <w:sz w:val="22"/>
          <w:szCs w:val="22"/>
        </w:rPr>
      </w:pPr>
    </w:p>
    <w:p w14:paraId="177D534C" w14:textId="77777777" w:rsidR="00E1659D" w:rsidRPr="002758D3" w:rsidRDefault="00E1659D" w:rsidP="00790F07">
      <w:pPr>
        <w:pStyle w:val="ListParagraph"/>
        <w:numPr>
          <w:ilvl w:val="0"/>
          <w:numId w:val="4"/>
        </w:numPr>
        <w:ind w:leftChars="0"/>
        <w:jc w:val="both"/>
        <w:rPr>
          <w:rFonts w:ascii="Times New Roman" w:eastAsia="Times New Roman" w:hAnsi="Times New Roman"/>
          <w:sz w:val="22"/>
          <w:szCs w:val="22"/>
          <w:lang w:val="en-US" w:eastAsia="zh-CN"/>
        </w:rPr>
      </w:pPr>
      <w:r w:rsidRPr="002758D3">
        <w:rPr>
          <w:rFonts w:ascii="Times New Roman" w:eastAsia="Times New Roman" w:hAnsi="Times New Roman"/>
          <w:sz w:val="22"/>
          <w:szCs w:val="22"/>
          <w:lang w:val="en-US" w:eastAsia="zh-CN"/>
        </w:rPr>
        <w:t>Highly directional communication where substantial spectrum reuse can be achieved when Tx and Rx beamforming are used,</w:t>
      </w:r>
      <w:r>
        <w:rPr>
          <w:rFonts w:ascii="Times New Roman" w:eastAsia="Times New Roman" w:hAnsi="Times New Roman"/>
          <w:sz w:val="22"/>
          <w:szCs w:val="22"/>
          <w:lang w:val="en-US" w:eastAsia="zh-CN"/>
        </w:rPr>
        <w:t xml:space="preserve"> or the transmitter cannot infer the interference at the receiver due to the highly directional nature of the interference.</w:t>
      </w:r>
    </w:p>
    <w:p w14:paraId="3DF13ACA" w14:textId="77777777" w:rsidR="00E1659D" w:rsidRPr="002758D3" w:rsidRDefault="00E1659D" w:rsidP="00790F07">
      <w:pPr>
        <w:pStyle w:val="ListParagraph"/>
        <w:numPr>
          <w:ilvl w:val="0"/>
          <w:numId w:val="4"/>
        </w:numPr>
        <w:ind w:leftChars="0"/>
        <w:jc w:val="both"/>
        <w:rPr>
          <w:rFonts w:ascii="Times New Roman" w:eastAsia="Times New Roman" w:hAnsi="Times New Roman"/>
          <w:sz w:val="22"/>
          <w:szCs w:val="22"/>
          <w:lang w:val="en-US" w:eastAsia="zh-CN"/>
        </w:rPr>
      </w:pPr>
      <w:r w:rsidRPr="002758D3">
        <w:rPr>
          <w:rFonts w:ascii="Times New Roman" w:eastAsia="Times New Roman" w:hAnsi="Times New Roman"/>
          <w:sz w:val="22"/>
          <w:szCs w:val="22"/>
          <w:lang w:val="en-US" w:eastAsia="zh-CN"/>
        </w:rPr>
        <w:t>Hidden nodes: where transmitter does not detect the same level of channel occupancy as the receiver</w:t>
      </w:r>
      <w:r>
        <w:rPr>
          <w:rFonts w:ascii="Times New Roman" w:eastAsia="Times New Roman" w:hAnsi="Times New Roman"/>
          <w:sz w:val="22"/>
          <w:szCs w:val="22"/>
          <w:lang w:val="en-US" w:eastAsia="zh-CN"/>
        </w:rPr>
        <w:t>.</w:t>
      </w:r>
    </w:p>
    <w:p w14:paraId="6A69295A" w14:textId="77777777" w:rsidR="00E1659D" w:rsidRPr="002758D3" w:rsidRDefault="00E1659D" w:rsidP="00E1659D">
      <w:pPr>
        <w:jc w:val="both"/>
        <w:rPr>
          <w:sz w:val="22"/>
          <w:szCs w:val="22"/>
        </w:rPr>
      </w:pPr>
    </w:p>
    <w:p w14:paraId="4BD1251E" w14:textId="4FD2A393" w:rsidR="00E1659D" w:rsidRDefault="00E1659D" w:rsidP="00490012">
      <w:pPr>
        <w:rPr>
          <w:sz w:val="22"/>
          <w:szCs w:val="22"/>
        </w:rPr>
      </w:pPr>
      <w:r>
        <w:rPr>
          <w:sz w:val="22"/>
          <w:szCs w:val="22"/>
        </w:rPr>
        <w:t>Based on the directionality of the transmission, both omni-directional LBT and directional LBT should be considered</w:t>
      </w:r>
      <w:r w:rsidR="00EF357E">
        <w:rPr>
          <w:sz w:val="22"/>
          <w:szCs w:val="22"/>
        </w:rPr>
        <w:t xml:space="preserve">. </w:t>
      </w:r>
      <w:r>
        <w:rPr>
          <w:sz w:val="22"/>
          <w:szCs w:val="22"/>
        </w:rPr>
        <w:t xml:space="preserve"> </w:t>
      </w:r>
    </w:p>
    <w:p w14:paraId="210D0238" w14:textId="0B1AE7C7" w:rsidR="00E1659D" w:rsidRDefault="00E1659D" w:rsidP="00490012">
      <w:pPr>
        <w:rPr>
          <w:sz w:val="22"/>
          <w:szCs w:val="22"/>
        </w:rPr>
      </w:pPr>
    </w:p>
    <w:p w14:paraId="04CB8D62" w14:textId="7B5F754E" w:rsidR="006367B1" w:rsidRDefault="00E1659D" w:rsidP="00490012">
      <w:pPr>
        <w:rPr>
          <w:sz w:val="22"/>
          <w:szCs w:val="22"/>
        </w:rPr>
      </w:pPr>
      <w:r>
        <w:rPr>
          <w:sz w:val="22"/>
          <w:szCs w:val="22"/>
        </w:rPr>
        <w:t xml:space="preserve">With omni-directional LBT, the gNB </w:t>
      </w:r>
      <w:r w:rsidR="006367B1">
        <w:rPr>
          <w:sz w:val="22"/>
          <w:szCs w:val="22"/>
        </w:rPr>
        <w:t xml:space="preserve">listens and </w:t>
      </w:r>
      <w:r>
        <w:rPr>
          <w:sz w:val="22"/>
          <w:szCs w:val="22"/>
        </w:rPr>
        <w:t>performs CCA</w:t>
      </w:r>
      <w:r w:rsidR="006367B1">
        <w:rPr>
          <w:sz w:val="22"/>
          <w:szCs w:val="22"/>
        </w:rPr>
        <w:t xml:space="preserve"> with a fixed antenna that may be omni-direction or quasi-omnidirectional. </w:t>
      </w:r>
      <w:r w:rsidR="007B1791">
        <w:rPr>
          <w:sz w:val="22"/>
          <w:szCs w:val="22"/>
        </w:rPr>
        <w:t>The listening antenna</w:t>
      </w:r>
      <w:r w:rsidR="006367B1">
        <w:rPr>
          <w:sz w:val="22"/>
          <w:szCs w:val="22"/>
        </w:rPr>
        <w:t xml:space="preserve"> is typically not the same as the transmitting antenna and may have a different direction</w:t>
      </w:r>
      <w:r w:rsidR="007B1791">
        <w:rPr>
          <w:sz w:val="22"/>
          <w:szCs w:val="22"/>
        </w:rPr>
        <w:t xml:space="preserve">, </w:t>
      </w:r>
      <w:r w:rsidR="006367B1">
        <w:rPr>
          <w:sz w:val="22"/>
          <w:szCs w:val="22"/>
        </w:rPr>
        <w:t>gain and</w:t>
      </w:r>
      <w:r w:rsidR="007B1791">
        <w:rPr>
          <w:sz w:val="22"/>
          <w:szCs w:val="22"/>
        </w:rPr>
        <w:t>/or</w:t>
      </w:r>
      <w:r w:rsidR="006367B1">
        <w:rPr>
          <w:sz w:val="22"/>
          <w:szCs w:val="22"/>
        </w:rPr>
        <w:t xml:space="preserve"> beamwidth.</w:t>
      </w:r>
      <w:r>
        <w:rPr>
          <w:sz w:val="22"/>
          <w:szCs w:val="22"/>
        </w:rPr>
        <w:t xml:space="preserve"> </w:t>
      </w:r>
    </w:p>
    <w:p w14:paraId="41CDA661" w14:textId="77777777" w:rsidR="006367B1" w:rsidRDefault="006367B1" w:rsidP="006367B1">
      <w:pPr>
        <w:rPr>
          <w:sz w:val="22"/>
          <w:szCs w:val="22"/>
        </w:rPr>
      </w:pPr>
    </w:p>
    <w:p w14:paraId="223A7112" w14:textId="2C4AE7F9" w:rsidR="00E1659D" w:rsidRDefault="006367B1" w:rsidP="006367B1">
      <w:pPr>
        <w:rPr>
          <w:sz w:val="22"/>
          <w:szCs w:val="22"/>
        </w:rPr>
      </w:pPr>
      <w:r w:rsidRPr="00192573">
        <w:rPr>
          <w:b/>
          <w:bCs/>
          <w:sz w:val="22"/>
          <w:szCs w:val="22"/>
        </w:rPr>
        <w:t>For a gNB-</w:t>
      </w:r>
      <w:r w:rsidR="006B3305" w:rsidRPr="00192573">
        <w:rPr>
          <w:b/>
          <w:bCs/>
          <w:sz w:val="22"/>
          <w:szCs w:val="22"/>
        </w:rPr>
        <w:t>initiated</w:t>
      </w:r>
      <w:r w:rsidRPr="00192573">
        <w:rPr>
          <w:b/>
          <w:bCs/>
          <w:sz w:val="22"/>
          <w:szCs w:val="22"/>
        </w:rPr>
        <w:t xml:space="preserve"> COT</w:t>
      </w:r>
      <w:r w:rsidR="00192573" w:rsidRPr="00192573">
        <w:rPr>
          <w:b/>
          <w:bCs/>
          <w:sz w:val="22"/>
          <w:szCs w:val="22"/>
        </w:rPr>
        <w:t xml:space="preserve"> with omni-directional LBT</w:t>
      </w:r>
      <w:r>
        <w:rPr>
          <w:sz w:val="22"/>
          <w:szCs w:val="22"/>
        </w:rPr>
        <w:t>,</w:t>
      </w:r>
      <w:r w:rsidR="00192573">
        <w:rPr>
          <w:sz w:val="22"/>
          <w:szCs w:val="22"/>
        </w:rPr>
        <w:t xml:space="preserve"> </w:t>
      </w:r>
      <w:r>
        <w:rPr>
          <w:sz w:val="22"/>
          <w:szCs w:val="22"/>
        </w:rPr>
        <w:t xml:space="preserve"> t</w:t>
      </w:r>
      <w:r w:rsidR="00E1659D">
        <w:rPr>
          <w:sz w:val="22"/>
          <w:szCs w:val="22"/>
        </w:rPr>
        <w:t xml:space="preserve">he gNB can estimate its threshold based on its transmit power and a factor that adjusts the threshold based on the gain of the “omni-antenna” e.g. the number of antennas it has. </w:t>
      </w:r>
      <w:r w:rsidR="00E1659D" w:rsidRPr="00E1659D">
        <w:rPr>
          <w:sz w:val="22"/>
          <w:szCs w:val="22"/>
        </w:rPr>
        <w:t xml:space="preserve">For example, </w:t>
      </w:r>
      <w:r w:rsidR="00963398">
        <w:rPr>
          <w:sz w:val="22"/>
          <w:szCs w:val="22"/>
        </w:rPr>
        <w:t xml:space="preserve">if the </w:t>
      </w:r>
      <w:r w:rsidR="00E1659D" w:rsidRPr="00E1659D">
        <w:rPr>
          <w:sz w:val="22"/>
          <w:szCs w:val="22"/>
        </w:rPr>
        <w:t xml:space="preserve">gNB has </w:t>
      </w:r>
      <w:r>
        <w:rPr>
          <w:sz w:val="22"/>
          <w:szCs w:val="22"/>
        </w:rPr>
        <w:t>32</w:t>
      </w:r>
      <w:r w:rsidR="00E1659D" w:rsidRPr="00E1659D">
        <w:rPr>
          <w:sz w:val="22"/>
          <w:szCs w:val="22"/>
        </w:rPr>
        <w:t xml:space="preserve"> antennas</w:t>
      </w:r>
      <w:r>
        <w:rPr>
          <w:sz w:val="22"/>
          <w:szCs w:val="22"/>
        </w:rPr>
        <w:t xml:space="preserve"> and 25</w:t>
      </w:r>
      <w:r w:rsidR="00E1659D" w:rsidRPr="00E1659D">
        <w:rPr>
          <w:sz w:val="22"/>
          <w:szCs w:val="22"/>
        </w:rPr>
        <w:t>dBm Tx power, then</w:t>
      </w:r>
      <w:r w:rsidR="007B1791">
        <w:rPr>
          <w:sz w:val="22"/>
          <w:szCs w:val="22"/>
        </w:rPr>
        <w:t xml:space="preserve"> the CCA </w:t>
      </w:r>
      <w:r w:rsidR="00E1659D" w:rsidRPr="00E1659D">
        <w:rPr>
          <w:sz w:val="22"/>
          <w:szCs w:val="22"/>
        </w:rPr>
        <w:t xml:space="preserve"> threshold is -47dBm + (40-</w:t>
      </w:r>
      <w:r>
        <w:rPr>
          <w:sz w:val="22"/>
          <w:szCs w:val="22"/>
        </w:rPr>
        <w:t>25</w:t>
      </w:r>
      <w:r w:rsidR="00E1659D" w:rsidRPr="00E1659D">
        <w:rPr>
          <w:sz w:val="22"/>
          <w:szCs w:val="22"/>
        </w:rPr>
        <w:t xml:space="preserve"> - 10*log10(</w:t>
      </w:r>
      <w:r>
        <w:rPr>
          <w:sz w:val="22"/>
          <w:szCs w:val="22"/>
        </w:rPr>
        <w:t>32</w:t>
      </w:r>
      <w:r w:rsidR="00E1659D" w:rsidRPr="00E1659D">
        <w:rPr>
          <w:sz w:val="22"/>
          <w:szCs w:val="22"/>
        </w:rPr>
        <w:t xml:space="preserve">)) = -47dBm - </w:t>
      </w:r>
      <w:r>
        <w:rPr>
          <w:sz w:val="22"/>
          <w:szCs w:val="22"/>
        </w:rPr>
        <w:t>0</w:t>
      </w:r>
      <w:r w:rsidR="00E1659D" w:rsidRPr="00E1659D">
        <w:rPr>
          <w:sz w:val="22"/>
          <w:szCs w:val="22"/>
        </w:rPr>
        <w:t>dBm = -</w:t>
      </w:r>
      <w:r>
        <w:rPr>
          <w:sz w:val="22"/>
          <w:szCs w:val="22"/>
        </w:rPr>
        <w:t>47</w:t>
      </w:r>
      <w:r w:rsidR="00E1659D" w:rsidRPr="00E1659D">
        <w:rPr>
          <w:sz w:val="22"/>
          <w:szCs w:val="22"/>
        </w:rPr>
        <w:t>dBm</w:t>
      </w:r>
      <w:r w:rsidR="00963398">
        <w:rPr>
          <w:sz w:val="22"/>
          <w:szCs w:val="22"/>
        </w:rPr>
        <w:t xml:space="preserve">. On success </w:t>
      </w:r>
      <w:r w:rsidR="007B1791">
        <w:rPr>
          <w:sz w:val="22"/>
          <w:szCs w:val="22"/>
        </w:rPr>
        <w:t xml:space="preserve">of the CCA, </w:t>
      </w:r>
      <w:r w:rsidR="00963398">
        <w:rPr>
          <w:sz w:val="22"/>
          <w:szCs w:val="22"/>
        </w:rPr>
        <w:t>the gNB can schedule</w:t>
      </w:r>
      <w:r>
        <w:rPr>
          <w:sz w:val="22"/>
          <w:szCs w:val="22"/>
        </w:rPr>
        <w:t xml:space="preserve"> a PDSCH transmission to </w:t>
      </w:r>
      <w:r w:rsidR="00963398">
        <w:rPr>
          <w:sz w:val="22"/>
          <w:szCs w:val="22"/>
        </w:rPr>
        <w:t xml:space="preserve"> any device </w:t>
      </w:r>
      <w:r w:rsidR="007B1791">
        <w:rPr>
          <w:sz w:val="22"/>
          <w:szCs w:val="22"/>
        </w:rPr>
        <w:t xml:space="preserve">it is associated </w:t>
      </w:r>
      <w:r w:rsidR="00963398">
        <w:rPr>
          <w:sz w:val="22"/>
          <w:szCs w:val="22"/>
        </w:rPr>
        <w:t xml:space="preserve">with in the acquired COT. Since the gNBs output power + beamforming gain is higher than any UE, the COT can be shared with any UE for UL transmission as well.  </w:t>
      </w:r>
    </w:p>
    <w:p w14:paraId="7C51D14F" w14:textId="69D7B06B" w:rsidR="00963398" w:rsidRDefault="00963398" w:rsidP="00490012">
      <w:pPr>
        <w:rPr>
          <w:sz w:val="22"/>
          <w:szCs w:val="22"/>
        </w:rPr>
      </w:pPr>
    </w:p>
    <w:p w14:paraId="1297E84B" w14:textId="13FEF9C0" w:rsidR="00963398" w:rsidRDefault="006367B1" w:rsidP="00490012">
      <w:pPr>
        <w:rPr>
          <w:sz w:val="22"/>
          <w:szCs w:val="22"/>
        </w:rPr>
      </w:pPr>
      <w:r w:rsidRPr="00192573">
        <w:rPr>
          <w:b/>
          <w:bCs/>
          <w:sz w:val="22"/>
          <w:szCs w:val="22"/>
        </w:rPr>
        <w:t>F</w:t>
      </w:r>
      <w:r w:rsidR="00963398" w:rsidRPr="00192573">
        <w:rPr>
          <w:b/>
          <w:bCs/>
          <w:sz w:val="22"/>
          <w:szCs w:val="22"/>
        </w:rPr>
        <w:t>or a UE initiated CO</w:t>
      </w:r>
      <w:r w:rsidR="00192573" w:rsidRPr="00192573">
        <w:rPr>
          <w:b/>
          <w:bCs/>
          <w:sz w:val="22"/>
          <w:szCs w:val="22"/>
        </w:rPr>
        <w:t>T with omni-directional LBT</w:t>
      </w:r>
      <w:r w:rsidR="00963398">
        <w:rPr>
          <w:sz w:val="22"/>
          <w:szCs w:val="22"/>
        </w:rPr>
        <w:t xml:space="preserve">, the UE may calculate its threshold </w:t>
      </w:r>
      <w:r>
        <w:rPr>
          <w:sz w:val="22"/>
          <w:szCs w:val="22"/>
        </w:rPr>
        <w:t>from</w:t>
      </w:r>
      <w:r w:rsidR="00963398">
        <w:rPr>
          <w:sz w:val="22"/>
          <w:szCs w:val="22"/>
        </w:rPr>
        <w:t xml:space="preserve"> its</w:t>
      </w:r>
      <w:r w:rsidR="007B1791" w:rsidRPr="007B1791">
        <w:rPr>
          <w:sz w:val="22"/>
          <w:szCs w:val="22"/>
        </w:rPr>
        <w:t xml:space="preserve"> </w:t>
      </w:r>
      <w:r w:rsidR="007B1791">
        <w:rPr>
          <w:sz w:val="22"/>
          <w:szCs w:val="22"/>
        </w:rPr>
        <w:t xml:space="preserve">threshold based on </w:t>
      </w:r>
      <w:proofErr w:type="spellStart"/>
      <w:r w:rsidR="007B1791">
        <w:rPr>
          <w:sz w:val="22"/>
          <w:szCs w:val="22"/>
        </w:rPr>
        <w:t>it</w:t>
      </w:r>
      <w:r w:rsidR="007B1791">
        <w:rPr>
          <w:sz w:val="22"/>
          <w:szCs w:val="22"/>
        </w:rPr>
        <w:t>’</w:t>
      </w:r>
      <w:r w:rsidR="007B1791">
        <w:rPr>
          <w:sz w:val="22"/>
          <w:szCs w:val="22"/>
        </w:rPr>
        <w:t>s</w:t>
      </w:r>
      <w:proofErr w:type="spellEnd"/>
      <w:r w:rsidR="007B1791">
        <w:rPr>
          <w:sz w:val="22"/>
          <w:szCs w:val="22"/>
        </w:rPr>
        <w:t xml:space="preserve"> </w:t>
      </w:r>
      <w:proofErr w:type="gramStart"/>
      <w:r w:rsidR="007B1791">
        <w:rPr>
          <w:sz w:val="22"/>
          <w:szCs w:val="22"/>
        </w:rPr>
        <w:t>transmit</w:t>
      </w:r>
      <w:proofErr w:type="gramEnd"/>
      <w:r w:rsidR="007B1791">
        <w:rPr>
          <w:sz w:val="22"/>
          <w:szCs w:val="22"/>
        </w:rPr>
        <w:t xml:space="preserve"> power and a factor that adjusts the threshold based on the gain of the “omni-antenna” e.g. the number of antennas it has.</w:t>
      </w:r>
      <w:r w:rsidR="00963398">
        <w:rPr>
          <w:sz w:val="22"/>
          <w:szCs w:val="22"/>
        </w:rPr>
        <w:t xml:space="preserve"> </w:t>
      </w:r>
      <w:r w:rsidR="007B1791">
        <w:rPr>
          <w:sz w:val="22"/>
          <w:szCs w:val="22"/>
        </w:rPr>
        <w:t xml:space="preserve">As an example, it can set its </w:t>
      </w:r>
      <w:r w:rsidR="00963398">
        <w:rPr>
          <w:sz w:val="22"/>
          <w:szCs w:val="22"/>
        </w:rPr>
        <w:t xml:space="preserve">EIRP as </w:t>
      </w:r>
      <w:r w:rsidR="00963398" w:rsidRPr="00963398">
        <w:rPr>
          <w:sz w:val="22"/>
          <w:szCs w:val="22"/>
        </w:rPr>
        <w:t xml:space="preserve">EIRP = Pmax </w:t>
      </w:r>
      <w:r w:rsidR="00963398" w:rsidRPr="00963398">
        <w:rPr>
          <w:sz w:val="22"/>
          <w:szCs w:val="22"/>
        </w:rPr>
        <w:lastRenderedPageBreak/>
        <w:t>(23dBm) + 10*log10(UE antennas)</w:t>
      </w:r>
      <w:r w:rsidR="00192573">
        <w:rPr>
          <w:sz w:val="22"/>
          <w:szCs w:val="22"/>
        </w:rPr>
        <w:t xml:space="preserve">. </w:t>
      </w:r>
      <w:r w:rsidR="007B1791">
        <w:rPr>
          <w:sz w:val="22"/>
          <w:szCs w:val="22"/>
        </w:rPr>
        <w:t>W</w:t>
      </w:r>
      <w:r w:rsidR="00963398" w:rsidRPr="00963398">
        <w:rPr>
          <w:sz w:val="22"/>
          <w:szCs w:val="22"/>
        </w:rPr>
        <w:t>hen UE 16 T/Rx antennas with 23dBm Tx power, the threshold is  -47dBm + (40-23 - 10*log10(16)) = -47dBm +5dBm = -42dBm</w:t>
      </w:r>
      <w:r w:rsidR="00963398">
        <w:rPr>
          <w:sz w:val="22"/>
          <w:szCs w:val="22"/>
        </w:rPr>
        <w:t>. The a</w:t>
      </w:r>
      <w:r w:rsidR="00963398" w:rsidRPr="00963398">
        <w:rPr>
          <w:sz w:val="22"/>
          <w:szCs w:val="22"/>
        </w:rPr>
        <w:t xml:space="preserve">cquired COT can be used </w:t>
      </w:r>
      <w:r w:rsidR="00963398">
        <w:rPr>
          <w:sz w:val="22"/>
          <w:szCs w:val="22"/>
        </w:rPr>
        <w:t xml:space="preserve">by the gNB as well. </w:t>
      </w:r>
      <w:r w:rsidR="00192573">
        <w:rPr>
          <w:sz w:val="22"/>
          <w:szCs w:val="22"/>
        </w:rPr>
        <w:t>Note that</w:t>
      </w:r>
      <w:r w:rsidR="00062327">
        <w:rPr>
          <w:sz w:val="22"/>
          <w:szCs w:val="22"/>
        </w:rPr>
        <w:t xml:space="preserve"> </w:t>
      </w:r>
      <w:r w:rsidR="00192573">
        <w:rPr>
          <w:sz w:val="22"/>
          <w:szCs w:val="22"/>
        </w:rPr>
        <w:t>the gNB sharing a COT may be able to use</w:t>
      </w:r>
      <w:r w:rsidR="00192573" w:rsidRPr="00192573">
        <w:rPr>
          <w:sz w:val="22"/>
          <w:szCs w:val="22"/>
        </w:rPr>
        <w:t xml:space="preserve"> the shared MCOT to transmit to any</w:t>
      </w:r>
      <w:r w:rsidR="00062327">
        <w:rPr>
          <w:sz w:val="22"/>
          <w:szCs w:val="22"/>
        </w:rPr>
        <w:t xml:space="preserve"> other</w:t>
      </w:r>
      <w:r w:rsidR="00192573" w:rsidRPr="00192573">
        <w:rPr>
          <w:sz w:val="22"/>
          <w:szCs w:val="22"/>
        </w:rPr>
        <w:t xml:space="preserve"> UE within the cell </w:t>
      </w:r>
      <w:r w:rsidR="007B1791">
        <w:rPr>
          <w:sz w:val="22"/>
          <w:szCs w:val="22"/>
        </w:rPr>
        <w:t xml:space="preserve">with its transmission EIRP </w:t>
      </w:r>
      <w:r w:rsidR="00192573" w:rsidRPr="00192573">
        <w:rPr>
          <w:sz w:val="22"/>
          <w:szCs w:val="22"/>
        </w:rPr>
        <w:t xml:space="preserve">under the same EIRP </w:t>
      </w:r>
      <w:r w:rsidR="00192573">
        <w:rPr>
          <w:sz w:val="22"/>
          <w:szCs w:val="22"/>
        </w:rPr>
        <w:t xml:space="preserve">the </w:t>
      </w:r>
      <w:r w:rsidR="00192573" w:rsidRPr="00192573">
        <w:rPr>
          <w:sz w:val="22"/>
          <w:szCs w:val="22"/>
        </w:rPr>
        <w:t>UE used to acquire the COT</w:t>
      </w:r>
      <w:r w:rsidR="00062327">
        <w:rPr>
          <w:sz w:val="22"/>
          <w:szCs w:val="22"/>
        </w:rPr>
        <w:t xml:space="preserve"> unlike in NR-U</w:t>
      </w:r>
      <w:r w:rsidR="00192573">
        <w:rPr>
          <w:sz w:val="22"/>
          <w:szCs w:val="22"/>
        </w:rPr>
        <w:t>. This is because the directionality of transmission from the non-initiating UE to the gNB limit</w:t>
      </w:r>
      <w:r w:rsidR="007B1791">
        <w:rPr>
          <w:sz w:val="22"/>
          <w:szCs w:val="22"/>
        </w:rPr>
        <w:t>s</w:t>
      </w:r>
      <w:r w:rsidR="00192573">
        <w:rPr>
          <w:sz w:val="22"/>
          <w:szCs w:val="22"/>
        </w:rPr>
        <w:t xml:space="preserve"> the amount of interference it provides to the medium.</w:t>
      </w:r>
    </w:p>
    <w:p w14:paraId="1AF5BBE8" w14:textId="6036639C" w:rsidR="00963398" w:rsidRDefault="00963398" w:rsidP="00490012">
      <w:pPr>
        <w:rPr>
          <w:sz w:val="22"/>
          <w:szCs w:val="22"/>
        </w:rPr>
      </w:pPr>
    </w:p>
    <w:p w14:paraId="21983795" w14:textId="36A90D6D" w:rsidR="00963398" w:rsidRDefault="00963398" w:rsidP="00490012">
      <w:pPr>
        <w:rPr>
          <w:sz w:val="22"/>
          <w:szCs w:val="22"/>
        </w:rPr>
      </w:pPr>
      <w:r w:rsidRPr="00192573">
        <w:rPr>
          <w:b/>
          <w:bCs/>
          <w:sz w:val="22"/>
          <w:szCs w:val="22"/>
        </w:rPr>
        <w:t>For directional LBT</w:t>
      </w:r>
      <w:r>
        <w:rPr>
          <w:sz w:val="22"/>
          <w:szCs w:val="22"/>
        </w:rPr>
        <w:t>, rather than performing CCA with the omni-directional antenna, the gNB/UE use</w:t>
      </w:r>
      <w:r w:rsidR="00192573">
        <w:rPr>
          <w:sz w:val="22"/>
          <w:szCs w:val="22"/>
        </w:rPr>
        <w:t>s</w:t>
      </w:r>
      <w:r>
        <w:rPr>
          <w:sz w:val="22"/>
          <w:szCs w:val="22"/>
        </w:rPr>
        <w:t xml:space="preserve"> the intended Tx beam for CCA</w:t>
      </w:r>
      <w:r w:rsidR="00192573">
        <w:rPr>
          <w:sz w:val="22"/>
          <w:szCs w:val="22"/>
        </w:rPr>
        <w:t xml:space="preserve"> i.e. it listens and transmits on the same beam</w:t>
      </w:r>
      <w:r>
        <w:rPr>
          <w:sz w:val="22"/>
          <w:szCs w:val="22"/>
        </w:rPr>
        <w:t>. In this case</w:t>
      </w:r>
      <w:r w:rsidR="00192573">
        <w:rPr>
          <w:sz w:val="22"/>
          <w:szCs w:val="22"/>
        </w:rPr>
        <w:t>,</w:t>
      </w:r>
      <w:r>
        <w:rPr>
          <w:sz w:val="22"/>
          <w:szCs w:val="22"/>
        </w:rPr>
        <w:t xml:space="preserve"> the CCA threshold is </w:t>
      </w:r>
      <w:r w:rsidR="00192573">
        <w:rPr>
          <w:sz w:val="22"/>
          <w:szCs w:val="22"/>
        </w:rPr>
        <w:t>calculated</w:t>
      </w:r>
      <w:r>
        <w:rPr>
          <w:sz w:val="22"/>
          <w:szCs w:val="22"/>
        </w:rPr>
        <w:t xml:space="preserve"> from the EIRP of the transmit beam direction. For example</w:t>
      </w:r>
      <w:r w:rsidR="00192573">
        <w:rPr>
          <w:sz w:val="22"/>
          <w:szCs w:val="22"/>
        </w:rPr>
        <w:t>,</w:t>
      </w:r>
      <w:r>
        <w:rPr>
          <w:sz w:val="22"/>
          <w:szCs w:val="22"/>
        </w:rPr>
        <w:t xml:space="preserve"> in the case of beam correspondence, the UE may sense the medium using the Rx beam corresponding to the Tx beam of the gNB </w:t>
      </w:r>
      <w:r w:rsidR="007B1791">
        <w:rPr>
          <w:sz w:val="22"/>
          <w:szCs w:val="22"/>
        </w:rPr>
        <w:t xml:space="preserve">(Tx beam 1) </w:t>
      </w:r>
      <w:r>
        <w:rPr>
          <w:sz w:val="22"/>
          <w:szCs w:val="22"/>
        </w:rPr>
        <w:t xml:space="preserve">and the CCA threshold is calculated </w:t>
      </w:r>
      <w:r w:rsidR="007B1791">
        <w:rPr>
          <w:sz w:val="22"/>
          <w:szCs w:val="22"/>
        </w:rPr>
        <w:t>from</w:t>
      </w:r>
      <w:r>
        <w:rPr>
          <w:sz w:val="22"/>
          <w:szCs w:val="22"/>
        </w:rPr>
        <w:t xml:space="preserve"> the EIRP of </w:t>
      </w:r>
      <w:r w:rsidR="00192573">
        <w:rPr>
          <w:sz w:val="22"/>
          <w:szCs w:val="22"/>
        </w:rPr>
        <w:t xml:space="preserve">this Rx beam when used as a </w:t>
      </w:r>
      <w:r>
        <w:rPr>
          <w:sz w:val="22"/>
          <w:szCs w:val="22"/>
        </w:rPr>
        <w:t>Tx beam</w:t>
      </w:r>
      <w:r w:rsidR="007B1791">
        <w:rPr>
          <w:sz w:val="22"/>
          <w:szCs w:val="22"/>
        </w:rPr>
        <w:t xml:space="preserve"> by the UE (Tx beam 2)</w:t>
      </w:r>
      <w:r>
        <w:rPr>
          <w:sz w:val="22"/>
          <w:szCs w:val="22"/>
        </w:rPr>
        <w:t xml:space="preserve">. In this case, the COT can only be shared in the direction of transmission. </w:t>
      </w:r>
    </w:p>
    <w:p w14:paraId="6D560B07" w14:textId="18F1FFD6" w:rsidR="00963398" w:rsidRDefault="00963398" w:rsidP="00490012">
      <w:pPr>
        <w:rPr>
          <w:sz w:val="22"/>
          <w:szCs w:val="22"/>
        </w:rPr>
      </w:pPr>
    </w:p>
    <w:p w14:paraId="16F064A0" w14:textId="0D0C7D0C" w:rsidR="00963398" w:rsidRDefault="00963398" w:rsidP="00000CE1">
      <w:pPr>
        <w:rPr>
          <w:sz w:val="22"/>
          <w:szCs w:val="22"/>
        </w:rPr>
      </w:pPr>
      <w:r>
        <w:rPr>
          <w:sz w:val="22"/>
          <w:szCs w:val="22"/>
        </w:rPr>
        <w:t xml:space="preserve">Note that it may be possible to combine both omni- and directional CCA. </w:t>
      </w:r>
      <w:r w:rsidRPr="00963398">
        <w:rPr>
          <w:sz w:val="22"/>
          <w:szCs w:val="22"/>
        </w:rPr>
        <w:t>Omni</w:t>
      </w:r>
      <w:r w:rsidR="00192573">
        <w:rPr>
          <w:sz w:val="22"/>
          <w:szCs w:val="22"/>
        </w:rPr>
        <w:t>-</w:t>
      </w:r>
      <w:r w:rsidRPr="00963398">
        <w:rPr>
          <w:sz w:val="22"/>
          <w:szCs w:val="22"/>
        </w:rPr>
        <w:t xml:space="preserve">CCA </w:t>
      </w:r>
      <w:r w:rsidR="00192573">
        <w:rPr>
          <w:sz w:val="22"/>
          <w:szCs w:val="22"/>
        </w:rPr>
        <w:t xml:space="preserve">can be </w:t>
      </w:r>
      <w:r w:rsidRPr="00963398">
        <w:rPr>
          <w:sz w:val="22"/>
          <w:szCs w:val="22"/>
        </w:rPr>
        <w:t xml:space="preserve"> used for all transmission that </w:t>
      </w:r>
      <w:r w:rsidR="00192573">
        <w:rPr>
          <w:sz w:val="22"/>
          <w:szCs w:val="22"/>
        </w:rPr>
        <w:t xml:space="preserve">includes </w:t>
      </w:r>
      <w:r w:rsidRPr="00963398">
        <w:rPr>
          <w:sz w:val="22"/>
          <w:szCs w:val="22"/>
        </w:rPr>
        <w:t xml:space="preserve"> broadcast contention such as SSB, SIB, </w:t>
      </w:r>
      <w:r w:rsidR="006B3305" w:rsidRPr="00963398">
        <w:rPr>
          <w:sz w:val="22"/>
          <w:szCs w:val="22"/>
        </w:rPr>
        <w:t>paging</w:t>
      </w:r>
      <w:r w:rsidRPr="00963398">
        <w:rPr>
          <w:sz w:val="22"/>
          <w:szCs w:val="22"/>
        </w:rPr>
        <w:t xml:space="preserve"> </w:t>
      </w:r>
      <w:r w:rsidR="006B3305" w:rsidRPr="00963398">
        <w:rPr>
          <w:sz w:val="22"/>
          <w:szCs w:val="22"/>
        </w:rPr>
        <w:t>etc.</w:t>
      </w:r>
      <w:r w:rsidRPr="00963398">
        <w:rPr>
          <w:sz w:val="22"/>
          <w:szCs w:val="22"/>
        </w:rPr>
        <w:t xml:space="preserve"> </w:t>
      </w:r>
      <w:r>
        <w:rPr>
          <w:sz w:val="22"/>
          <w:szCs w:val="22"/>
        </w:rPr>
        <w:t>while d</w:t>
      </w:r>
      <w:r w:rsidRPr="00963398">
        <w:rPr>
          <w:sz w:val="22"/>
          <w:szCs w:val="22"/>
        </w:rPr>
        <w:t>irectional CCA can be used for unicast data traffic such as PDSCH or PUSCH.</w:t>
      </w:r>
    </w:p>
    <w:p w14:paraId="5F0EC994" w14:textId="55580F3A" w:rsidR="00192573" w:rsidRDefault="00192573" w:rsidP="00000CE1">
      <w:pPr>
        <w:rPr>
          <w:sz w:val="22"/>
          <w:szCs w:val="22"/>
        </w:rPr>
      </w:pPr>
    </w:p>
    <w:p w14:paraId="2E4D0375" w14:textId="44F4180A" w:rsidR="00192573" w:rsidRDefault="00192573" w:rsidP="00000CE1">
      <w:pPr>
        <w:rPr>
          <w:sz w:val="22"/>
          <w:szCs w:val="22"/>
        </w:rPr>
      </w:pPr>
      <w:r w:rsidRPr="002758D3">
        <w:rPr>
          <w:b/>
          <w:i/>
          <w:sz w:val="22"/>
          <w:szCs w:val="22"/>
        </w:rPr>
        <w:t xml:space="preserve">Proposal </w:t>
      </w:r>
      <w:r>
        <w:rPr>
          <w:b/>
          <w:i/>
          <w:sz w:val="22"/>
          <w:szCs w:val="22"/>
        </w:rPr>
        <w:t>4</w:t>
      </w:r>
      <w:r w:rsidRPr="002758D3">
        <w:rPr>
          <w:b/>
          <w:i/>
          <w:sz w:val="22"/>
          <w:szCs w:val="22"/>
        </w:rPr>
        <w:t xml:space="preserve">: </w:t>
      </w:r>
      <w:r>
        <w:rPr>
          <w:bCs/>
          <w:i/>
          <w:sz w:val="22"/>
          <w:szCs w:val="22"/>
        </w:rPr>
        <w:t>RAN1</w:t>
      </w:r>
      <w:r w:rsidRPr="002758D3">
        <w:rPr>
          <w:bCs/>
          <w:i/>
          <w:sz w:val="22"/>
          <w:szCs w:val="22"/>
        </w:rPr>
        <w:t xml:space="preserve"> to </w:t>
      </w:r>
      <w:r>
        <w:rPr>
          <w:bCs/>
          <w:i/>
          <w:sz w:val="22"/>
          <w:szCs w:val="22"/>
        </w:rPr>
        <w:t xml:space="preserve">support directional LBT in scenarios where LBT is mandated. </w:t>
      </w:r>
    </w:p>
    <w:p w14:paraId="2EAF2795" w14:textId="108E5826" w:rsidR="00192573" w:rsidRDefault="00192573" w:rsidP="00000CE1">
      <w:pPr>
        <w:rPr>
          <w:sz w:val="22"/>
          <w:szCs w:val="22"/>
        </w:rPr>
      </w:pPr>
    </w:p>
    <w:p w14:paraId="074AA13F" w14:textId="77777777" w:rsidR="00A20DBA" w:rsidRDefault="00A20DBA" w:rsidP="00A20DBA">
      <w:pPr>
        <w:pStyle w:val="Heading3"/>
      </w:pPr>
      <w:r>
        <w:t>RTS/CTS as complement to LBT</w:t>
      </w:r>
    </w:p>
    <w:p w14:paraId="13818436" w14:textId="14C60D66" w:rsidR="00E1659D" w:rsidRDefault="00E1659D" w:rsidP="00E1659D">
      <w:pPr>
        <w:jc w:val="both"/>
        <w:rPr>
          <w:sz w:val="22"/>
          <w:szCs w:val="22"/>
        </w:rPr>
      </w:pPr>
      <w:r w:rsidRPr="002758D3">
        <w:rPr>
          <w:sz w:val="22"/>
          <w:szCs w:val="22"/>
        </w:rPr>
        <w:t xml:space="preserve">One scenario where LBT does not work effectively due to the fact that interference seen at transmitter is not same as that at receiver is when transmission and reception are highly directional through beam-forming. This </w:t>
      </w:r>
      <w:r>
        <w:rPr>
          <w:sz w:val="22"/>
          <w:szCs w:val="22"/>
        </w:rPr>
        <w:t xml:space="preserve">will be </w:t>
      </w:r>
      <w:r w:rsidRPr="002758D3">
        <w:rPr>
          <w:sz w:val="22"/>
          <w:szCs w:val="22"/>
        </w:rPr>
        <w:t xml:space="preserve"> the typical transmission profile in NR </w:t>
      </w:r>
      <w:r>
        <w:rPr>
          <w:sz w:val="22"/>
          <w:szCs w:val="22"/>
        </w:rPr>
        <w:t>operation between 52.6 GHz and 71 GHz</w:t>
      </w:r>
      <w:r w:rsidRPr="002758D3">
        <w:rPr>
          <w:sz w:val="22"/>
          <w:szCs w:val="22"/>
        </w:rPr>
        <w:t xml:space="preserve">.  </w:t>
      </w:r>
      <w:r w:rsidR="00EB7A24">
        <w:rPr>
          <w:sz w:val="22"/>
          <w:szCs w:val="22"/>
        </w:rPr>
        <w:fldChar w:fldCharType="begin"/>
      </w:r>
      <w:r w:rsidR="00EB7A24">
        <w:rPr>
          <w:sz w:val="22"/>
          <w:szCs w:val="22"/>
        </w:rPr>
        <w:instrText xml:space="preserve"> REF _Ref53742237 \h </w:instrText>
      </w:r>
      <w:r w:rsidR="00EB7A24">
        <w:rPr>
          <w:sz w:val="22"/>
          <w:szCs w:val="22"/>
        </w:rPr>
      </w:r>
      <w:r w:rsidR="00EB7A24">
        <w:rPr>
          <w:sz w:val="22"/>
          <w:szCs w:val="22"/>
        </w:rPr>
        <w:fldChar w:fldCharType="separate"/>
      </w:r>
      <w:r w:rsidR="006B3305">
        <w:t xml:space="preserve">Figure </w:t>
      </w:r>
      <w:r w:rsidR="006B3305">
        <w:rPr>
          <w:noProof/>
        </w:rPr>
        <w:t>4</w:t>
      </w:r>
      <w:r w:rsidR="00EB7A24">
        <w:rPr>
          <w:sz w:val="22"/>
          <w:szCs w:val="22"/>
        </w:rPr>
        <w:fldChar w:fldCharType="end"/>
      </w:r>
      <w:r w:rsidRPr="002758D3">
        <w:rPr>
          <w:sz w:val="22"/>
          <w:szCs w:val="22"/>
        </w:rPr>
        <w:t xml:space="preserve">illustrates an example: LBT from </w:t>
      </w:r>
      <w:r>
        <w:rPr>
          <w:sz w:val="22"/>
          <w:szCs w:val="22"/>
        </w:rPr>
        <w:t xml:space="preserve">the </w:t>
      </w:r>
      <w:r w:rsidRPr="002758D3">
        <w:rPr>
          <w:sz w:val="22"/>
          <w:szCs w:val="22"/>
        </w:rPr>
        <w:t xml:space="preserve">gNB would not be able to identify the directional transmission from a hidden Wi-Fi AP </w:t>
      </w:r>
      <w:r>
        <w:rPr>
          <w:sz w:val="22"/>
          <w:szCs w:val="22"/>
        </w:rPr>
        <w:t>that</w:t>
      </w:r>
      <w:r w:rsidRPr="002758D3">
        <w:rPr>
          <w:sz w:val="22"/>
          <w:szCs w:val="22"/>
        </w:rPr>
        <w:t xml:space="preserve"> is transmitting to UE1. </w:t>
      </w:r>
      <w:r>
        <w:rPr>
          <w:sz w:val="22"/>
          <w:szCs w:val="22"/>
        </w:rPr>
        <w:t>In this scenario,</w:t>
      </w:r>
      <w:r w:rsidRPr="002758D3">
        <w:rPr>
          <w:sz w:val="22"/>
          <w:szCs w:val="22"/>
        </w:rPr>
        <w:t xml:space="preserve"> the signal transmitted from </w:t>
      </w:r>
      <w:r>
        <w:rPr>
          <w:sz w:val="22"/>
          <w:szCs w:val="22"/>
        </w:rPr>
        <w:t xml:space="preserve">the </w:t>
      </w:r>
      <w:r w:rsidRPr="002758D3">
        <w:rPr>
          <w:sz w:val="22"/>
          <w:szCs w:val="22"/>
        </w:rPr>
        <w:t>gNB to UE2 can be jammed by the Wi-Fi signal. Similarly, the reception at UE1 could also be severely interfered by the gNB’s transmission.</w:t>
      </w:r>
    </w:p>
    <w:p w14:paraId="6AB9B487" w14:textId="77777777" w:rsidR="00E1659D" w:rsidRPr="002758D3" w:rsidRDefault="00E1659D" w:rsidP="00E1659D">
      <w:pPr>
        <w:jc w:val="both"/>
        <w:rPr>
          <w:sz w:val="22"/>
          <w:szCs w:val="22"/>
        </w:rPr>
      </w:pPr>
    </w:p>
    <w:p w14:paraId="22DD9163" w14:textId="77777777" w:rsidR="00EB7A24" w:rsidRDefault="00E1659D" w:rsidP="00EB7A24">
      <w:pPr>
        <w:keepNext/>
        <w:jc w:val="center"/>
      </w:pPr>
      <w:r w:rsidRPr="000D13F7">
        <w:rPr>
          <w:noProof/>
        </w:rPr>
        <w:drawing>
          <wp:inline distT="0" distB="0" distL="0" distR="0" wp14:anchorId="58D88A7A" wp14:editId="06455A44">
            <wp:extent cx="3412273" cy="1571946"/>
            <wp:effectExtent l="0" t="0" r="4445" b="0"/>
            <wp:docPr id="9" name="Picture 9"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31503" cy="1580805"/>
                    </a:xfrm>
                    <a:prstGeom prst="rect">
                      <a:avLst/>
                    </a:prstGeom>
                  </pic:spPr>
                </pic:pic>
              </a:graphicData>
            </a:graphic>
          </wp:inline>
        </w:drawing>
      </w:r>
    </w:p>
    <w:p w14:paraId="714F7F9F" w14:textId="2DE50ECF" w:rsidR="00E1659D" w:rsidRDefault="00EB7A24" w:rsidP="00EB7A24">
      <w:pPr>
        <w:pStyle w:val="Caption"/>
      </w:pPr>
      <w:bookmarkStart w:id="3" w:name="_Ref53742237"/>
      <w:r>
        <w:t xml:space="preserve">Figure </w:t>
      </w:r>
      <w:r w:rsidR="007B1791">
        <w:fldChar w:fldCharType="begin"/>
      </w:r>
      <w:r w:rsidR="007B1791">
        <w:instrText xml:space="preserve"> SEQ Figure \* ARABIC </w:instrText>
      </w:r>
      <w:r w:rsidR="007B1791">
        <w:fldChar w:fldCharType="separate"/>
      </w:r>
      <w:r w:rsidR="006B3305">
        <w:rPr>
          <w:noProof/>
        </w:rPr>
        <w:t>4</w:t>
      </w:r>
      <w:r w:rsidR="007B1791">
        <w:rPr>
          <w:noProof/>
        </w:rPr>
        <w:fldChar w:fldCharType="end"/>
      </w:r>
      <w:bookmarkEnd w:id="3"/>
      <w:r>
        <w:t xml:space="preserve">: </w:t>
      </w:r>
      <w:r w:rsidRPr="002D0698">
        <w:t>hidden nodes due to directional interference</w:t>
      </w:r>
    </w:p>
    <w:p w14:paraId="63132251" w14:textId="344C5976" w:rsidR="00A20DBA" w:rsidRPr="002758D3" w:rsidRDefault="00A20DBA" w:rsidP="00A20DBA">
      <w:pPr>
        <w:pStyle w:val="Caption"/>
        <w:rPr>
          <w:sz w:val="22"/>
          <w:szCs w:val="22"/>
        </w:rPr>
      </w:pPr>
    </w:p>
    <w:p w14:paraId="70186A85" w14:textId="77777777" w:rsidR="00A20DBA" w:rsidRDefault="00A20DBA" w:rsidP="00A20DBA">
      <w:pPr>
        <w:jc w:val="both"/>
        <w:rPr>
          <w:sz w:val="22"/>
          <w:szCs w:val="22"/>
        </w:rPr>
      </w:pPr>
      <w:r w:rsidRPr="002758D3">
        <w:rPr>
          <w:sz w:val="22"/>
          <w:szCs w:val="22"/>
        </w:rPr>
        <w:t xml:space="preserve">In this case, the CCA can be further enhanced if </w:t>
      </w:r>
      <w:r>
        <w:rPr>
          <w:sz w:val="22"/>
          <w:szCs w:val="22"/>
        </w:rPr>
        <w:t xml:space="preserve">the </w:t>
      </w:r>
      <w:r w:rsidRPr="002758D3">
        <w:rPr>
          <w:sz w:val="22"/>
          <w:szCs w:val="22"/>
        </w:rPr>
        <w:t>gNB sends out a short R</w:t>
      </w:r>
      <w:r>
        <w:rPr>
          <w:sz w:val="22"/>
          <w:szCs w:val="22"/>
        </w:rPr>
        <w:t>equest-</w:t>
      </w:r>
      <w:r w:rsidRPr="002758D3">
        <w:rPr>
          <w:sz w:val="22"/>
          <w:szCs w:val="22"/>
        </w:rPr>
        <w:t>T</w:t>
      </w:r>
      <w:r>
        <w:rPr>
          <w:sz w:val="22"/>
          <w:szCs w:val="22"/>
        </w:rPr>
        <w:t>o-</w:t>
      </w:r>
      <w:r w:rsidRPr="002758D3">
        <w:rPr>
          <w:sz w:val="22"/>
          <w:szCs w:val="22"/>
        </w:rPr>
        <w:t>S</w:t>
      </w:r>
      <w:r>
        <w:rPr>
          <w:sz w:val="22"/>
          <w:szCs w:val="22"/>
        </w:rPr>
        <w:t>end (RTS) like signal</w:t>
      </w:r>
      <w:r w:rsidRPr="002758D3">
        <w:rPr>
          <w:sz w:val="22"/>
          <w:szCs w:val="22"/>
        </w:rPr>
        <w:t xml:space="preserve"> </w:t>
      </w:r>
      <w:r>
        <w:rPr>
          <w:sz w:val="22"/>
          <w:szCs w:val="22"/>
        </w:rPr>
        <w:t>to</w:t>
      </w:r>
      <w:r w:rsidRPr="002758D3">
        <w:rPr>
          <w:sz w:val="22"/>
          <w:szCs w:val="22"/>
        </w:rPr>
        <w:t xml:space="preserve"> keep any potential interference to </w:t>
      </w:r>
      <w:r>
        <w:rPr>
          <w:sz w:val="22"/>
          <w:szCs w:val="22"/>
        </w:rPr>
        <w:t xml:space="preserve">the </w:t>
      </w:r>
      <w:r w:rsidRPr="002758D3">
        <w:rPr>
          <w:sz w:val="22"/>
          <w:szCs w:val="22"/>
        </w:rPr>
        <w:t>minimum and let</w:t>
      </w:r>
      <w:r>
        <w:rPr>
          <w:sz w:val="22"/>
          <w:szCs w:val="22"/>
        </w:rPr>
        <w:t>s</w:t>
      </w:r>
      <w:r w:rsidRPr="002758D3">
        <w:rPr>
          <w:sz w:val="22"/>
          <w:szCs w:val="22"/>
        </w:rPr>
        <w:t xml:space="preserve"> the target UE confirm </w:t>
      </w:r>
      <w:r>
        <w:rPr>
          <w:sz w:val="22"/>
          <w:szCs w:val="22"/>
        </w:rPr>
        <w:t xml:space="preserve">the channel is clear </w:t>
      </w:r>
      <w:r w:rsidRPr="002758D3">
        <w:rPr>
          <w:sz w:val="22"/>
          <w:szCs w:val="22"/>
        </w:rPr>
        <w:t>with a C</w:t>
      </w:r>
      <w:r>
        <w:rPr>
          <w:sz w:val="22"/>
          <w:szCs w:val="22"/>
        </w:rPr>
        <w:t xml:space="preserve">lear </w:t>
      </w:r>
      <w:r w:rsidRPr="002758D3">
        <w:rPr>
          <w:sz w:val="22"/>
          <w:szCs w:val="22"/>
        </w:rPr>
        <w:t>to</w:t>
      </w:r>
      <w:r>
        <w:rPr>
          <w:sz w:val="22"/>
          <w:szCs w:val="22"/>
        </w:rPr>
        <w:t xml:space="preserve"> </w:t>
      </w:r>
      <w:r w:rsidRPr="002758D3">
        <w:rPr>
          <w:sz w:val="22"/>
          <w:szCs w:val="22"/>
        </w:rPr>
        <w:t>S</w:t>
      </w:r>
      <w:r>
        <w:rPr>
          <w:sz w:val="22"/>
          <w:szCs w:val="22"/>
        </w:rPr>
        <w:t>end like signal</w:t>
      </w:r>
      <w:r w:rsidRPr="002758D3">
        <w:rPr>
          <w:sz w:val="22"/>
          <w:szCs w:val="22"/>
        </w:rPr>
        <w:t xml:space="preserve">. This makes sure that the target UE will not be subject to any interferer unseen by the gNB. In addition, </w:t>
      </w:r>
      <w:r>
        <w:rPr>
          <w:sz w:val="22"/>
          <w:szCs w:val="22"/>
        </w:rPr>
        <w:t xml:space="preserve">as </w:t>
      </w:r>
      <w:r w:rsidRPr="002758D3">
        <w:rPr>
          <w:sz w:val="22"/>
          <w:szCs w:val="22"/>
        </w:rPr>
        <w:t xml:space="preserve">the Tx/Rx beam is typically wider at the UE side due to its limited antenna configuration, the “wider” CTS beam could also mute potential interferers </w:t>
      </w:r>
      <w:r>
        <w:rPr>
          <w:sz w:val="22"/>
          <w:szCs w:val="22"/>
        </w:rPr>
        <w:t xml:space="preserve">that may be </w:t>
      </w:r>
      <w:r w:rsidRPr="002758D3">
        <w:rPr>
          <w:sz w:val="22"/>
          <w:szCs w:val="22"/>
        </w:rPr>
        <w:t xml:space="preserve">listening </w:t>
      </w:r>
      <w:r>
        <w:rPr>
          <w:sz w:val="22"/>
          <w:szCs w:val="22"/>
        </w:rPr>
        <w:t>in</w:t>
      </w:r>
      <w:r w:rsidRPr="002758D3">
        <w:rPr>
          <w:sz w:val="22"/>
          <w:szCs w:val="22"/>
        </w:rPr>
        <w:t xml:space="preserve"> the direction of the target UE. </w:t>
      </w:r>
    </w:p>
    <w:p w14:paraId="73BB5C23" w14:textId="77777777" w:rsidR="00A20DBA" w:rsidRDefault="00A20DBA" w:rsidP="00A20DBA">
      <w:pPr>
        <w:jc w:val="both"/>
        <w:rPr>
          <w:sz w:val="22"/>
          <w:szCs w:val="22"/>
        </w:rPr>
      </w:pPr>
    </w:p>
    <w:p w14:paraId="75CA933D" w14:textId="379DEABB" w:rsidR="00A20DBA" w:rsidRDefault="00A20DBA" w:rsidP="00A20DBA">
      <w:pPr>
        <w:jc w:val="both"/>
        <w:rPr>
          <w:sz w:val="22"/>
          <w:szCs w:val="22"/>
        </w:rPr>
      </w:pPr>
      <w:r w:rsidRPr="002758D3">
        <w:rPr>
          <w:sz w:val="22"/>
          <w:szCs w:val="22"/>
        </w:rPr>
        <w:t xml:space="preserve">The “hidden nodes” issue is well known for CSMA type of multi-access for unlicensed spectrum, </w:t>
      </w:r>
      <w:r>
        <w:rPr>
          <w:sz w:val="22"/>
          <w:szCs w:val="22"/>
        </w:rPr>
        <w:t>especially</w:t>
      </w:r>
      <w:r w:rsidRPr="002758D3">
        <w:rPr>
          <w:sz w:val="22"/>
          <w:szCs w:val="22"/>
        </w:rPr>
        <w:t xml:space="preserve"> for </w:t>
      </w:r>
      <w:r>
        <w:rPr>
          <w:sz w:val="22"/>
          <w:szCs w:val="22"/>
        </w:rPr>
        <w:t xml:space="preserve">the around </w:t>
      </w:r>
      <w:r w:rsidRPr="002758D3">
        <w:rPr>
          <w:sz w:val="22"/>
          <w:szCs w:val="22"/>
        </w:rPr>
        <w:t xml:space="preserve">6GHz spectrum where transmission/reception are less directional. As illustrated in </w:t>
      </w:r>
      <w:r w:rsidR="00A3161B">
        <w:rPr>
          <w:sz w:val="22"/>
          <w:szCs w:val="22"/>
        </w:rPr>
        <w:fldChar w:fldCharType="begin"/>
      </w:r>
      <w:r w:rsidR="00A3161B">
        <w:rPr>
          <w:sz w:val="22"/>
          <w:szCs w:val="22"/>
        </w:rPr>
        <w:instrText xml:space="preserve"> REF _Ref53742268 \h </w:instrText>
      </w:r>
      <w:r w:rsidR="00A3161B">
        <w:rPr>
          <w:sz w:val="22"/>
          <w:szCs w:val="22"/>
        </w:rPr>
      </w:r>
      <w:r w:rsidR="00A3161B">
        <w:rPr>
          <w:sz w:val="22"/>
          <w:szCs w:val="22"/>
        </w:rPr>
        <w:fldChar w:fldCharType="separate"/>
      </w:r>
      <w:r w:rsidR="006B3305">
        <w:t xml:space="preserve">Figure </w:t>
      </w:r>
      <w:r w:rsidR="006B3305">
        <w:rPr>
          <w:noProof/>
        </w:rPr>
        <w:t>5</w:t>
      </w:r>
      <w:r w:rsidR="00A3161B">
        <w:rPr>
          <w:sz w:val="22"/>
          <w:szCs w:val="22"/>
        </w:rPr>
        <w:fldChar w:fldCharType="end"/>
      </w:r>
      <w:r w:rsidR="00A3161B">
        <w:rPr>
          <w:sz w:val="22"/>
          <w:szCs w:val="22"/>
        </w:rPr>
        <w:t xml:space="preserve"> </w:t>
      </w:r>
      <w:r w:rsidRPr="002758D3">
        <w:rPr>
          <w:sz w:val="22"/>
          <w:szCs w:val="22"/>
        </w:rPr>
        <w:t xml:space="preserve">when </w:t>
      </w:r>
      <w:r>
        <w:rPr>
          <w:sz w:val="22"/>
          <w:szCs w:val="22"/>
        </w:rPr>
        <w:t xml:space="preserve">the </w:t>
      </w:r>
      <w:r w:rsidRPr="002758D3">
        <w:rPr>
          <w:sz w:val="22"/>
          <w:szCs w:val="22"/>
        </w:rPr>
        <w:t xml:space="preserve">gNB performs </w:t>
      </w:r>
      <w:r>
        <w:rPr>
          <w:sz w:val="22"/>
          <w:szCs w:val="22"/>
        </w:rPr>
        <w:t xml:space="preserve">an </w:t>
      </w:r>
      <w:r w:rsidRPr="002758D3">
        <w:rPr>
          <w:sz w:val="22"/>
          <w:szCs w:val="22"/>
        </w:rPr>
        <w:t>LBT before reaching the UE1, it may not detect the transmission from another Wi-Fi AP, which is close enough to UE1 but far from the gNB. Therefore, the transmission from gNB to the UE1 can potentially be jammed by the transmission from AP.</w:t>
      </w:r>
      <w:r>
        <w:rPr>
          <w:sz w:val="22"/>
          <w:szCs w:val="22"/>
        </w:rPr>
        <w:t xml:space="preserve"> This may be exacerbated by the presence of beam-based transmission. </w:t>
      </w:r>
    </w:p>
    <w:p w14:paraId="777F73FB" w14:textId="77777777" w:rsidR="00A20DBA" w:rsidRPr="002758D3" w:rsidRDefault="00A20DBA" w:rsidP="00A20DBA">
      <w:pPr>
        <w:jc w:val="both"/>
        <w:rPr>
          <w:sz w:val="22"/>
          <w:szCs w:val="22"/>
        </w:rPr>
      </w:pPr>
    </w:p>
    <w:p w14:paraId="299B0770" w14:textId="77777777" w:rsidR="00A3161B" w:rsidRDefault="00A20DBA" w:rsidP="00A3161B">
      <w:pPr>
        <w:keepNext/>
        <w:jc w:val="center"/>
      </w:pPr>
      <w:r w:rsidRPr="00196D77">
        <w:rPr>
          <w:noProof/>
        </w:rPr>
        <w:drawing>
          <wp:inline distT="0" distB="0" distL="0" distR="0" wp14:anchorId="4D182161" wp14:editId="31C5665F">
            <wp:extent cx="3479800" cy="1028700"/>
            <wp:effectExtent l="0" t="0" r="0" b="0"/>
            <wp:docPr id="6" name="Picture 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79800" cy="1028700"/>
                    </a:xfrm>
                    <a:prstGeom prst="rect">
                      <a:avLst/>
                    </a:prstGeom>
                  </pic:spPr>
                </pic:pic>
              </a:graphicData>
            </a:graphic>
          </wp:inline>
        </w:drawing>
      </w:r>
    </w:p>
    <w:p w14:paraId="6F9168E1" w14:textId="7D432E2F" w:rsidR="00A20DBA" w:rsidRDefault="00A3161B" w:rsidP="00A3161B">
      <w:pPr>
        <w:pStyle w:val="Caption"/>
      </w:pPr>
      <w:bookmarkStart w:id="4" w:name="_Ref53742268"/>
      <w:r>
        <w:t xml:space="preserve">Figure </w:t>
      </w:r>
      <w:r w:rsidR="007B1791">
        <w:fldChar w:fldCharType="begin"/>
      </w:r>
      <w:r w:rsidR="007B1791">
        <w:instrText xml:space="preserve"> SEQ Figure \* ARABIC </w:instrText>
      </w:r>
      <w:r w:rsidR="007B1791">
        <w:fldChar w:fldCharType="separate"/>
      </w:r>
      <w:r w:rsidR="006B3305">
        <w:rPr>
          <w:noProof/>
        </w:rPr>
        <w:t>5</w:t>
      </w:r>
      <w:r w:rsidR="007B1791">
        <w:rPr>
          <w:noProof/>
        </w:rPr>
        <w:fldChar w:fldCharType="end"/>
      </w:r>
      <w:bookmarkEnd w:id="4"/>
      <w:r>
        <w:t xml:space="preserve">: </w:t>
      </w:r>
      <w:r w:rsidRPr="004A0A11">
        <w:t>hidden nodes from distant interferer</w:t>
      </w:r>
    </w:p>
    <w:p w14:paraId="46F88D23" w14:textId="77777777" w:rsidR="00A3161B" w:rsidRDefault="00A3161B" w:rsidP="00A20DBA">
      <w:pPr>
        <w:jc w:val="both"/>
        <w:rPr>
          <w:sz w:val="22"/>
          <w:szCs w:val="22"/>
        </w:rPr>
      </w:pPr>
    </w:p>
    <w:p w14:paraId="737A26FD" w14:textId="434B9DFB" w:rsidR="00A20DBA" w:rsidRPr="002758D3" w:rsidRDefault="00A20DBA" w:rsidP="00A20DBA">
      <w:pPr>
        <w:jc w:val="both"/>
        <w:rPr>
          <w:sz w:val="22"/>
          <w:szCs w:val="22"/>
        </w:rPr>
      </w:pPr>
      <w:r w:rsidRPr="002758D3">
        <w:rPr>
          <w:sz w:val="22"/>
          <w:szCs w:val="22"/>
        </w:rPr>
        <w:t>With an alternative RTS/CTS</w:t>
      </w:r>
      <w:r>
        <w:rPr>
          <w:sz w:val="22"/>
          <w:szCs w:val="22"/>
        </w:rPr>
        <w:t>-like</w:t>
      </w:r>
      <w:r w:rsidRPr="002758D3">
        <w:rPr>
          <w:sz w:val="22"/>
          <w:szCs w:val="22"/>
        </w:rPr>
        <w:t xml:space="preserve"> mechanism, UE1 can </w:t>
      </w:r>
      <w:r>
        <w:rPr>
          <w:sz w:val="22"/>
          <w:szCs w:val="22"/>
        </w:rPr>
        <w:t xml:space="preserve">transmit a CTS to the gNB only </w:t>
      </w:r>
      <w:r w:rsidRPr="002758D3">
        <w:rPr>
          <w:sz w:val="22"/>
          <w:szCs w:val="22"/>
        </w:rPr>
        <w:t>when the channel is not being occupied or interference seen at the UE side is weak enough, as well as “</w:t>
      </w:r>
      <w:r>
        <w:rPr>
          <w:sz w:val="22"/>
          <w:szCs w:val="22"/>
        </w:rPr>
        <w:t>mute</w:t>
      </w:r>
      <w:r w:rsidRPr="002758D3">
        <w:rPr>
          <w:sz w:val="22"/>
          <w:szCs w:val="22"/>
        </w:rPr>
        <w:t>” other potential close-by interferers.</w:t>
      </w:r>
    </w:p>
    <w:p w14:paraId="30369F76" w14:textId="77777777" w:rsidR="00A20DBA" w:rsidRPr="002758D3" w:rsidRDefault="00A20DBA" w:rsidP="00A20DBA">
      <w:pPr>
        <w:jc w:val="both"/>
        <w:rPr>
          <w:sz w:val="22"/>
          <w:szCs w:val="22"/>
        </w:rPr>
      </w:pPr>
    </w:p>
    <w:p w14:paraId="3A904CE8" w14:textId="54B3008E" w:rsidR="00A20DBA" w:rsidRPr="002758D3" w:rsidRDefault="00A20DBA" w:rsidP="00A20DBA">
      <w:pPr>
        <w:jc w:val="both"/>
        <w:rPr>
          <w:bCs/>
          <w:i/>
          <w:sz w:val="22"/>
          <w:szCs w:val="22"/>
        </w:rPr>
      </w:pPr>
      <w:r w:rsidRPr="002758D3">
        <w:rPr>
          <w:b/>
          <w:i/>
          <w:sz w:val="22"/>
          <w:szCs w:val="22"/>
        </w:rPr>
        <w:t xml:space="preserve">Proposal </w:t>
      </w:r>
      <w:r w:rsidR="00192573">
        <w:rPr>
          <w:b/>
          <w:i/>
          <w:sz w:val="22"/>
          <w:szCs w:val="22"/>
        </w:rPr>
        <w:t>5</w:t>
      </w:r>
      <w:r w:rsidRPr="002758D3">
        <w:rPr>
          <w:b/>
          <w:i/>
          <w:sz w:val="22"/>
          <w:szCs w:val="22"/>
        </w:rPr>
        <w:t xml:space="preserve">: </w:t>
      </w:r>
      <w:r>
        <w:rPr>
          <w:bCs/>
          <w:i/>
          <w:sz w:val="22"/>
          <w:szCs w:val="22"/>
        </w:rPr>
        <w:t>RAN1</w:t>
      </w:r>
      <w:r w:rsidRPr="002758D3">
        <w:rPr>
          <w:bCs/>
          <w:i/>
          <w:sz w:val="22"/>
          <w:szCs w:val="22"/>
        </w:rPr>
        <w:t xml:space="preserve"> to </w:t>
      </w:r>
      <w:r w:rsidR="00192573">
        <w:rPr>
          <w:bCs/>
          <w:i/>
          <w:sz w:val="22"/>
          <w:szCs w:val="22"/>
        </w:rPr>
        <w:t xml:space="preserve">support </w:t>
      </w:r>
      <w:r w:rsidRPr="002758D3">
        <w:rPr>
          <w:bCs/>
          <w:i/>
          <w:sz w:val="22"/>
          <w:szCs w:val="22"/>
        </w:rPr>
        <w:t xml:space="preserve"> an RTS/CTS</w:t>
      </w:r>
      <w:r>
        <w:rPr>
          <w:bCs/>
          <w:i/>
          <w:sz w:val="22"/>
          <w:szCs w:val="22"/>
        </w:rPr>
        <w:t>-like</w:t>
      </w:r>
      <w:r w:rsidRPr="002758D3">
        <w:rPr>
          <w:bCs/>
          <w:i/>
          <w:sz w:val="22"/>
          <w:szCs w:val="22"/>
        </w:rPr>
        <w:t xml:space="preserve"> mechanism to help </w:t>
      </w:r>
      <w:r>
        <w:rPr>
          <w:bCs/>
          <w:i/>
          <w:sz w:val="22"/>
          <w:szCs w:val="22"/>
        </w:rPr>
        <w:t xml:space="preserve">in </w:t>
      </w:r>
      <w:r w:rsidRPr="002758D3">
        <w:rPr>
          <w:bCs/>
          <w:i/>
          <w:sz w:val="22"/>
          <w:szCs w:val="22"/>
        </w:rPr>
        <w:t xml:space="preserve">mitigating </w:t>
      </w:r>
      <w:r>
        <w:rPr>
          <w:bCs/>
          <w:i/>
          <w:sz w:val="22"/>
          <w:szCs w:val="22"/>
        </w:rPr>
        <w:t xml:space="preserve">directional interference or </w:t>
      </w:r>
      <w:r w:rsidRPr="002758D3">
        <w:rPr>
          <w:bCs/>
          <w:i/>
          <w:sz w:val="22"/>
          <w:szCs w:val="22"/>
        </w:rPr>
        <w:t>potential hidden node issue</w:t>
      </w:r>
      <w:r>
        <w:rPr>
          <w:bCs/>
          <w:i/>
          <w:sz w:val="22"/>
          <w:szCs w:val="22"/>
        </w:rPr>
        <w:t>s</w:t>
      </w:r>
      <w:r w:rsidR="00192573">
        <w:rPr>
          <w:bCs/>
          <w:i/>
          <w:sz w:val="22"/>
          <w:szCs w:val="22"/>
        </w:rPr>
        <w:t xml:space="preserve"> in scenarios where LBT is mandated.</w:t>
      </w:r>
    </w:p>
    <w:p w14:paraId="13BD0995" w14:textId="77777777" w:rsidR="000F380E" w:rsidRPr="00C963BC" w:rsidRDefault="000F380E" w:rsidP="00D32078">
      <w:pPr>
        <w:rPr>
          <w:b/>
          <w:i/>
        </w:rPr>
      </w:pPr>
    </w:p>
    <w:p w14:paraId="64A1FD86" w14:textId="77777777" w:rsidR="00D32078" w:rsidRDefault="00D32078" w:rsidP="00D32078">
      <w:pPr>
        <w:pStyle w:val="Heading1"/>
      </w:pPr>
      <w:r>
        <w:t>Concl</w:t>
      </w:r>
      <w:r w:rsidRPr="00FB330B">
        <w:t>usions</w:t>
      </w:r>
    </w:p>
    <w:p w14:paraId="29AF35F7" w14:textId="62D5AC6D" w:rsidR="002758D3" w:rsidRPr="00B60B4F" w:rsidRDefault="00D32078" w:rsidP="00D32078">
      <w:pPr>
        <w:rPr>
          <w:sz w:val="22"/>
          <w:szCs w:val="22"/>
        </w:rPr>
      </w:pPr>
      <w:r w:rsidRPr="00B60B4F">
        <w:rPr>
          <w:sz w:val="22"/>
          <w:szCs w:val="22"/>
        </w:rPr>
        <w:t>In this contribution,</w:t>
      </w:r>
      <w:r w:rsidR="004578FD" w:rsidRPr="00B60B4F">
        <w:rPr>
          <w:sz w:val="22"/>
          <w:szCs w:val="22"/>
        </w:rPr>
        <w:t xml:space="preserve"> we have studied channel access procedures for unlicensed access in the above 52.6 GHz band and have the following observations: </w:t>
      </w:r>
    </w:p>
    <w:p w14:paraId="7DDD30F7" w14:textId="77777777" w:rsidR="002758D3" w:rsidRPr="00B60B4F" w:rsidRDefault="002758D3" w:rsidP="00D32078">
      <w:pPr>
        <w:rPr>
          <w:sz w:val="22"/>
          <w:szCs w:val="22"/>
        </w:rPr>
      </w:pPr>
    </w:p>
    <w:p w14:paraId="660575CB" w14:textId="77777777" w:rsidR="00EB7A24" w:rsidRPr="00BD0525" w:rsidRDefault="00EB7A24" w:rsidP="00EB7A24">
      <w:pPr>
        <w:jc w:val="both"/>
        <w:rPr>
          <w:rFonts w:cs="Batang"/>
          <w:i/>
          <w:iCs/>
          <w:sz w:val="22"/>
          <w:szCs w:val="22"/>
          <w:lang w:val="en-GB" w:eastAsia="en-US"/>
        </w:rPr>
      </w:pPr>
      <w:r w:rsidRPr="00BD0525">
        <w:rPr>
          <w:rFonts w:cs="Batang"/>
          <w:b/>
          <w:bCs/>
          <w:i/>
          <w:iCs/>
          <w:sz w:val="22"/>
          <w:szCs w:val="22"/>
          <w:lang w:val="en-GB" w:eastAsia="en-US"/>
        </w:rPr>
        <w:t>Observation 1:</w:t>
      </w:r>
      <w:r w:rsidRPr="00BD0525">
        <w:rPr>
          <w:rFonts w:cs="Batang"/>
          <w:i/>
          <w:iCs/>
          <w:sz w:val="22"/>
          <w:szCs w:val="22"/>
          <w:lang w:val="en-GB" w:eastAsia="en-US"/>
        </w:rPr>
        <w:t xml:space="preserve"> The large propagation losses in the 60 GHz range mandate the need for beam-based transmission and the need for LBT schemes that account for these beams.</w:t>
      </w:r>
    </w:p>
    <w:p w14:paraId="7A84C861" w14:textId="77777777" w:rsidR="00EB7A24" w:rsidRPr="00BD0525" w:rsidRDefault="00EB7A24" w:rsidP="00EB7A24">
      <w:pPr>
        <w:jc w:val="both"/>
        <w:rPr>
          <w:rFonts w:cs="Batang"/>
          <w:i/>
          <w:iCs/>
          <w:sz w:val="22"/>
          <w:szCs w:val="22"/>
          <w:lang w:val="en-GB" w:eastAsia="en-US"/>
        </w:rPr>
      </w:pPr>
    </w:p>
    <w:p w14:paraId="64C30751" w14:textId="1668760F" w:rsidR="00EB7A24" w:rsidRDefault="00EB7A24" w:rsidP="00EB7A24">
      <w:pPr>
        <w:jc w:val="both"/>
        <w:rPr>
          <w:rFonts w:cs="Batang"/>
          <w:i/>
          <w:iCs/>
          <w:sz w:val="22"/>
          <w:szCs w:val="22"/>
          <w:lang w:val="en-GB" w:eastAsia="en-US"/>
        </w:rPr>
      </w:pPr>
      <w:r w:rsidRPr="00BD0525">
        <w:rPr>
          <w:rFonts w:cs="Batang"/>
          <w:b/>
          <w:bCs/>
          <w:i/>
          <w:iCs/>
          <w:sz w:val="22"/>
          <w:szCs w:val="22"/>
          <w:lang w:val="en-GB" w:eastAsia="en-US"/>
        </w:rPr>
        <w:t>Observation 2:</w:t>
      </w:r>
      <w:r w:rsidRPr="00BD0525">
        <w:rPr>
          <w:rFonts w:cs="Batang"/>
          <w:i/>
          <w:iCs/>
          <w:sz w:val="22"/>
          <w:szCs w:val="22"/>
          <w:lang w:val="en-GB" w:eastAsia="en-US"/>
        </w:rPr>
        <w:t xml:space="preserve"> The possibility of an </w:t>
      </w:r>
      <w:r>
        <w:rPr>
          <w:rFonts w:cs="Batang"/>
          <w:i/>
          <w:iCs/>
          <w:sz w:val="22"/>
          <w:szCs w:val="22"/>
          <w:lang w:val="en-GB" w:eastAsia="en-US"/>
        </w:rPr>
        <w:t>CCA measurement</w:t>
      </w:r>
      <w:r w:rsidRPr="00BD0525">
        <w:rPr>
          <w:rFonts w:cs="Batang"/>
          <w:i/>
          <w:iCs/>
          <w:sz w:val="22"/>
          <w:szCs w:val="22"/>
          <w:lang w:val="en-GB" w:eastAsia="en-US"/>
        </w:rPr>
        <w:t xml:space="preserve"> bandwidth that is larger than the transmission bandwidth may require a change to the basic LBT mechanism.</w:t>
      </w:r>
      <w:r>
        <w:rPr>
          <w:rFonts w:cs="Batang"/>
          <w:i/>
          <w:iCs/>
          <w:sz w:val="22"/>
          <w:szCs w:val="22"/>
          <w:lang w:val="en-GB" w:eastAsia="en-US"/>
        </w:rPr>
        <w:t xml:space="preserve">    </w:t>
      </w:r>
    </w:p>
    <w:p w14:paraId="4085D951" w14:textId="77777777" w:rsidR="00EB7A24" w:rsidRDefault="00EB7A24" w:rsidP="00EB7A24">
      <w:pPr>
        <w:jc w:val="both"/>
        <w:rPr>
          <w:rFonts w:cs="Batang"/>
          <w:i/>
          <w:iCs/>
          <w:sz w:val="22"/>
          <w:szCs w:val="22"/>
          <w:lang w:val="en-GB" w:eastAsia="en-US"/>
        </w:rPr>
      </w:pPr>
    </w:p>
    <w:p w14:paraId="7167B623" w14:textId="28FC9B99" w:rsidR="00652435" w:rsidRDefault="00EB7A24" w:rsidP="00EB7A24">
      <w:pPr>
        <w:jc w:val="both"/>
        <w:rPr>
          <w:i/>
          <w:iCs/>
          <w:sz w:val="22"/>
          <w:szCs w:val="22"/>
        </w:rPr>
      </w:pPr>
      <w:r w:rsidRPr="002758D3">
        <w:rPr>
          <w:b/>
          <w:bCs/>
          <w:i/>
          <w:iCs/>
          <w:sz w:val="22"/>
          <w:szCs w:val="22"/>
        </w:rPr>
        <w:t xml:space="preserve">Observation </w:t>
      </w:r>
      <w:r>
        <w:rPr>
          <w:b/>
          <w:bCs/>
          <w:i/>
          <w:iCs/>
          <w:sz w:val="22"/>
          <w:szCs w:val="22"/>
        </w:rPr>
        <w:t>3</w:t>
      </w:r>
      <w:r w:rsidRPr="002758D3">
        <w:rPr>
          <w:b/>
          <w:bCs/>
          <w:i/>
          <w:iCs/>
          <w:sz w:val="22"/>
          <w:szCs w:val="22"/>
        </w:rPr>
        <w:t>:</w:t>
      </w:r>
      <w:r w:rsidRPr="002758D3">
        <w:rPr>
          <w:i/>
          <w:iCs/>
          <w:sz w:val="22"/>
          <w:szCs w:val="22"/>
        </w:rPr>
        <w:t xml:space="preserve"> Unlicensed access for NR </w:t>
      </w:r>
      <w:r>
        <w:rPr>
          <w:i/>
          <w:iCs/>
          <w:sz w:val="22"/>
          <w:szCs w:val="22"/>
        </w:rPr>
        <w:t>operating between</w:t>
      </w:r>
      <w:r w:rsidRPr="002758D3">
        <w:rPr>
          <w:i/>
          <w:iCs/>
          <w:sz w:val="22"/>
          <w:szCs w:val="22"/>
        </w:rPr>
        <w:t xml:space="preserve"> 52.6 GHz </w:t>
      </w:r>
      <w:r>
        <w:rPr>
          <w:i/>
          <w:iCs/>
          <w:sz w:val="22"/>
          <w:szCs w:val="22"/>
        </w:rPr>
        <w:t xml:space="preserve">and 71 GHz </w:t>
      </w:r>
      <w:r w:rsidRPr="002758D3">
        <w:rPr>
          <w:i/>
          <w:iCs/>
          <w:sz w:val="22"/>
          <w:szCs w:val="22"/>
        </w:rPr>
        <w:t>in the unlicensed band will have to co-exist with</w:t>
      </w:r>
      <w:r>
        <w:rPr>
          <w:i/>
          <w:iCs/>
          <w:sz w:val="22"/>
          <w:szCs w:val="22"/>
        </w:rPr>
        <w:t xml:space="preserve"> existing RATs such as IEEE</w:t>
      </w:r>
      <w:r w:rsidRPr="002758D3">
        <w:rPr>
          <w:i/>
          <w:iCs/>
          <w:sz w:val="22"/>
          <w:szCs w:val="22"/>
        </w:rPr>
        <w:t xml:space="preserve"> 802.11ad and </w:t>
      </w:r>
      <w:r>
        <w:rPr>
          <w:i/>
          <w:iCs/>
          <w:sz w:val="22"/>
          <w:szCs w:val="22"/>
        </w:rPr>
        <w:t xml:space="preserve">IEEE </w:t>
      </w:r>
      <w:r w:rsidRPr="002758D3">
        <w:rPr>
          <w:i/>
          <w:iCs/>
          <w:sz w:val="22"/>
          <w:szCs w:val="22"/>
        </w:rPr>
        <w:t>802.11ay</w:t>
      </w:r>
      <w:r>
        <w:rPr>
          <w:i/>
          <w:iCs/>
          <w:sz w:val="22"/>
          <w:szCs w:val="22"/>
        </w:rPr>
        <w:t xml:space="preserve"> that require an operating bandwidth of 2.16 GHz</w:t>
      </w:r>
      <w:r>
        <w:rPr>
          <w:rFonts w:cs="Batang"/>
          <w:i/>
          <w:iCs/>
          <w:sz w:val="22"/>
          <w:szCs w:val="22"/>
          <w:lang w:val="en-GB" w:eastAsia="en-US"/>
        </w:rPr>
        <w:t xml:space="preserve">                               </w:t>
      </w:r>
      <w:r w:rsidR="00652435">
        <w:rPr>
          <w:i/>
          <w:iCs/>
          <w:sz w:val="22"/>
          <w:szCs w:val="22"/>
        </w:rPr>
        <w:t xml:space="preserve"> </w:t>
      </w:r>
    </w:p>
    <w:p w14:paraId="0B353C1B" w14:textId="647499D4" w:rsidR="00652435" w:rsidRDefault="00652435" w:rsidP="00652435">
      <w:pPr>
        <w:jc w:val="both"/>
        <w:rPr>
          <w:rFonts w:cs="Batang"/>
          <w:b/>
          <w:bCs/>
          <w:i/>
          <w:iCs/>
          <w:sz w:val="22"/>
          <w:szCs w:val="22"/>
          <w:lang w:eastAsia="en-US"/>
        </w:rPr>
      </w:pPr>
    </w:p>
    <w:p w14:paraId="683E48FB" w14:textId="22857F8E" w:rsidR="00652435" w:rsidRPr="00652435" w:rsidRDefault="00652435" w:rsidP="00652435">
      <w:pPr>
        <w:jc w:val="both"/>
        <w:rPr>
          <w:rFonts w:cs="Batang"/>
          <w:sz w:val="22"/>
          <w:szCs w:val="22"/>
          <w:lang w:eastAsia="en-US"/>
        </w:rPr>
      </w:pPr>
      <w:r w:rsidRPr="00652435">
        <w:rPr>
          <w:rFonts w:cs="Batang"/>
          <w:sz w:val="22"/>
          <w:szCs w:val="22"/>
          <w:lang w:eastAsia="en-US"/>
        </w:rPr>
        <w:t xml:space="preserve">Based on these observations, we have the following proposals: </w:t>
      </w:r>
    </w:p>
    <w:p w14:paraId="4A742322" w14:textId="77777777" w:rsidR="00652435" w:rsidRDefault="00652435" w:rsidP="00652435">
      <w:pPr>
        <w:jc w:val="both"/>
        <w:rPr>
          <w:rFonts w:cs="Batang"/>
          <w:b/>
          <w:bCs/>
          <w:i/>
          <w:iCs/>
          <w:sz w:val="22"/>
          <w:szCs w:val="22"/>
          <w:lang w:eastAsia="en-US"/>
        </w:rPr>
      </w:pPr>
    </w:p>
    <w:p w14:paraId="53207B7E" w14:textId="77777777" w:rsidR="00EB7A24" w:rsidRPr="00A20DBA" w:rsidRDefault="00EB7A24" w:rsidP="00EB7A24">
      <w:pPr>
        <w:jc w:val="both"/>
        <w:rPr>
          <w:rFonts w:cs="Batang"/>
          <w:i/>
          <w:iCs/>
          <w:sz w:val="22"/>
          <w:szCs w:val="22"/>
          <w:lang w:eastAsia="en-US"/>
        </w:rPr>
      </w:pPr>
      <w:r w:rsidRPr="00BD0525">
        <w:rPr>
          <w:rFonts w:cs="Batang"/>
          <w:b/>
          <w:bCs/>
          <w:i/>
          <w:iCs/>
          <w:sz w:val="22"/>
          <w:szCs w:val="22"/>
          <w:lang w:eastAsia="en-US"/>
        </w:rPr>
        <w:t>Proposal 1</w:t>
      </w:r>
      <w:r w:rsidRPr="00A20DBA">
        <w:rPr>
          <w:rFonts w:cs="Batang"/>
          <w:b/>
          <w:bCs/>
          <w:i/>
          <w:iCs/>
          <w:sz w:val="22"/>
          <w:szCs w:val="22"/>
          <w:lang w:eastAsia="en-US"/>
        </w:rPr>
        <w:t>:</w:t>
      </w:r>
      <w:r w:rsidRPr="00A20DBA">
        <w:rPr>
          <w:rFonts w:cs="Batang"/>
          <w:i/>
          <w:iCs/>
          <w:sz w:val="22"/>
          <w:szCs w:val="22"/>
          <w:lang w:eastAsia="en-US"/>
        </w:rPr>
        <w:t xml:space="preserve"> The mechanism and condition(s) to switch between channel access with LBT and channel access without LBT should allow:</w:t>
      </w:r>
    </w:p>
    <w:p w14:paraId="202E8404" w14:textId="77777777" w:rsidR="00EB7A24" w:rsidRPr="00A20DBA" w:rsidRDefault="00EB7A24" w:rsidP="00790F07">
      <w:pPr>
        <w:numPr>
          <w:ilvl w:val="2"/>
          <w:numId w:val="7"/>
        </w:numPr>
        <w:jc w:val="both"/>
        <w:rPr>
          <w:rFonts w:cs="Batang"/>
          <w:i/>
          <w:iCs/>
          <w:sz w:val="22"/>
          <w:szCs w:val="22"/>
          <w:lang w:eastAsia="en-US"/>
        </w:rPr>
      </w:pPr>
      <w:r w:rsidRPr="00A20DBA">
        <w:rPr>
          <w:rFonts w:cs="Batang"/>
          <w:i/>
          <w:iCs/>
          <w:sz w:val="22"/>
          <w:szCs w:val="22"/>
          <w:lang w:eastAsia="en-US"/>
        </w:rPr>
        <w:t xml:space="preserve">Switching between LBT-based and non-LBT based access based on </w:t>
      </w:r>
      <w:r>
        <w:rPr>
          <w:rFonts w:cs="Batang"/>
          <w:i/>
          <w:iCs/>
          <w:sz w:val="22"/>
          <w:szCs w:val="22"/>
          <w:lang w:eastAsia="en-US"/>
        </w:rPr>
        <w:t xml:space="preserve">the </w:t>
      </w:r>
      <w:r w:rsidRPr="00A20DBA">
        <w:rPr>
          <w:rFonts w:cs="Batang"/>
          <w:i/>
          <w:iCs/>
          <w:sz w:val="22"/>
          <w:szCs w:val="22"/>
          <w:lang w:eastAsia="en-US"/>
        </w:rPr>
        <w:t>regulatory environment only or based on the interference environment the UE(s) experience when regulation allows.</w:t>
      </w:r>
    </w:p>
    <w:p w14:paraId="338B4EDE" w14:textId="77777777" w:rsidR="00EB7A24" w:rsidRDefault="00EB7A24" w:rsidP="00790F07">
      <w:pPr>
        <w:numPr>
          <w:ilvl w:val="2"/>
          <w:numId w:val="7"/>
        </w:numPr>
        <w:jc w:val="both"/>
        <w:rPr>
          <w:rFonts w:cs="Batang"/>
          <w:i/>
          <w:iCs/>
          <w:sz w:val="22"/>
          <w:szCs w:val="22"/>
          <w:lang w:eastAsia="en-US"/>
        </w:rPr>
      </w:pPr>
      <w:r w:rsidRPr="00A20DBA">
        <w:rPr>
          <w:rFonts w:cs="Batang"/>
          <w:i/>
          <w:iCs/>
          <w:sz w:val="22"/>
          <w:szCs w:val="22"/>
          <w:lang w:eastAsia="en-US"/>
        </w:rPr>
        <w:t>For LBT channel access, non-LBT transmission for specific channels (e.g. SSB) can occur in at most 10% of the COT.</w:t>
      </w:r>
    </w:p>
    <w:p w14:paraId="6D011D25" w14:textId="77777777" w:rsidR="00652435" w:rsidRDefault="00652435" w:rsidP="00652435">
      <w:pPr>
        <w:jc w:val="both"/>
        <w:rPr>
          <w:i/>
          <w:iCs/>
          <w:sz w:val="22"/>
          <w:szCs w:val="22"/>
        </w:rPr>
      </w:pPr>
    </w:p>
    <w:p w14:paraId="32BF1B3C" w14:textId="160E5D9E" w:rsidR="00EB7A24" w:rsidRPr="00A20DBA" w:rsidRDefault="00EB7A24" w:rsidP="00EB7A24">
      <w:pPr>
        <w:jc w:val="both"/>
        <w:rPr>
          <w:rFonts w:cs="Batang"/>
          <w:i/>
          <w:iCs/>
          <w:sz w:val="22"/>
          <w:szCs w:val="22"/>
          <w:lang w:val="en-GB" w:eastAsia="en-US"/>
        </w:rPr>
      </w:pPr>
      <w:r w:rsidRPr="00A20DBA">
        <w:rPr>
          <w:rFonts w:cs="Batang"/>
          <w:b/>
          <w:bCs/>
          <w:i/>
          <w:iCs/>
          <w:sz w:val="22"/>
          <w:szCs w:val="22"/>
          <w:lang w:val="en-GB" w:eastAsia="en-US"/>
        </w:rPr>
        <w:t>P</w:t>
      </w:r>
      <w:r w:rsidRPr="00EF357E">
        <w:rPr>
          <w:rFonts w:cs="Batang"/>
          <w:b/>
          <w:bCs/>
          <w:i/>
          <w:iCs/>
          <w:sz w:val="22"/>
          <w:szCs w:val="22"/>
          <w:lang w:val="en-GB" w:eastAsia="en-US"/>
        </w:rPr>
        <w:t>roposal 2</w:t>
      </w:r>
      <w:r w:rsidRPr="00A20DBA">
        <w:rPr>
          <w:rFonts w:cs="Batang"/>
          <w:b/>
          <w:bCs/>
          <w:i/>
          <w:iCs/>
          <w:sz w:val="22"/>
          <w:szCs w:val="22"/>
          <w:lang w:val="en-GB" w:eastAsia="en-US"/>
        </w:rPr>
        <w:t>:</w:t>
      </w:r>
      <w:r w:rsidRPr="00A20DBA">
        <w:rPr>
          <w:rFonts w:cs="Batang"/>
          <w:i/>
          <w:iCs/>
          <w:sz w:val="22"/>
          <w:szCs w:val="22"/>
          <w:lang w:val="en-GB" w:eastAsia="en-US"/>
        </w:rPr>
        <w:t xml:space="preserve"> Support at least one mode that aligns with WiFi 11ad/11ay channels of 2.16GHz bandwidth</w:t>
      </w:r>
    </w:p>
    <w:p w14:paraId="6884AAD4" w14:textId="77777777" w:rsidR="00EB7A24" w:rsidRPr="00A215CB" w:rsidRDefault="00EB7A24" w:rsidP="00790F07">
      <w:pPr>
        <w:pStyle w:val="ListParagraph"/>
        <w:numPr>
          <w:ilvl w:val="0"/>
          <w:numId w:val="6"/>
        </w:numPr>
        <w:ind w:leftChars="0"/>
        <w:jc w:val="both"/>
        <w:rPr>
          <w:rFonts w:cs="Batang"/>
          <w:i/>
          <w:iCs/>
          <w:sz w:val="22"/>
          <w:szCs w:val="22"/>
          <w:lang w:eastAsia="en-US"/>
        </w:rPr>
      </w:pPr>
      <w:r w:rsidRPr="00A215CB">
        <w:rPr>
          <w:rFonts w:cs="Batang"/>
          <w:i/>
          <w:iCs/>
          <w:sz w:val="22"/>
          <w:szCs w:val="22"/>
          <w:lang w:eastAsia="en-US"/>
        </w:rPr>
        <w:lastRenderedPageBreak/>
        <w:t>Both single carrier and multi-carrier modes should be supported</w:t>
      </w:r>
    </w:p>
    <w:p w14:paraId="449A85A5" w14:textId="4C019831" w:rsidR="00EB7A24" w:rsidRDefault="00EB7A24" w:rsidP="00790F07">
      <w:pPr>
        <w:pStyle w:val="ListParagraph"/>
        <w:numPr>
          <w:ilvl w:val="0"/>
          <w:numId w:val="6"/>
        </w:numPr>
        <w:ind w:leftChars="0"/>
        <w:jc w:val="both"/>
        <w:rPr>
          <w:rFonts w:cs="Batang"/>
          <w:i/>
          <w:iCs/>
          <w:sz w:val="22"/>
          <w:szCs w:val="22"/>
          <w:lang w:eastAsia="en-US"/>
        </w:rPr>
      </w:pPr>
      <w:r w:rsidRPr="00A215CB">
        <w:rPr>
          <w:rFonts w:cs="Batang"/>
          <w:i/>
          <w:iCs/>
          <w:sz w:val="22"/>
          <w:szCs w:val="22"/>
          <w:lang w:eastAsia="en-US"/>
        </w:rPr>
        <w:t>Allow</w:t>
      </w:r>
      <w:r>
        <w:rPr>
          <w:rFonts w:cs="Batang"/>
          <w:i/>
          <w:iCs/>
          <w:sz w:val="22"/>
          <w:szCs w:val="22"/>
          <w:lang w:eastAsia="en-US"/>
        </w:rPr>
        <w:t xml:space="preserve"> an operating</w:t>
      </w:r>
      <w:r w:rsidRPr="00A215CB">
        <w:rPr>
          <w:rFonts w:cs="Batang"/>
          <w:i/>
          <w:iCs/>
          <w:sz w:val="22"/>
          <w:szCs w:val="22"/>
          <w:lang w:eastAsia="en-US"/>
        </w:rPr>
        <w:t xml:space="preserve"> channel BW &lt; 2.16 GHz bandwidth</w:t>
      </w:r>
    </w:p>
    <w:p w14:paraId="7438800A" w14:textId="77777777" w:rsidR="00EB7A24" w:rsidRDefault="00EB7A24" w:rsidP="00EB7A24">
      <w:pPr>
        <w:pStyle w:val="ListParagraph"/>
        <w:ind w:leftChars="0" w:left="360" w:firstLine="0"/>
        <w:jc w:val="both"/>
        <w:rPr>
          <w:rFonts w:cs="Batang"/>
          <w:i/>
          <w:iCs/>
          <w:sz w:val="22"/>
          <w:szCs w:val="22"/>
          <w:lang w:eastAsia="en-US"/>
        </w:rPr>
      </w:pPr>
    </w:p>
    <w:p w14:paraId="0FBF02CC" w14:textId="77777777" w:rsidR="00EB7A24" w:rsidRPr="00A20DBA" w:rsidRDefault="00EB7A24" w:rsidP="00EB7A24">
      <w:pPr>
        <w:tabs>
          <w:tab w:val="left" w:pos="640"/>
        </w:tabs>
        <w:jc w:val="both"/>
        <w:rPr>
          <w:i/>
          <w:iCs/>
          <w:sz w:val="22"/>
          <w:szCs w:val="22"/>
        </w:rPr>
      </w:pPr>
      <w:r w:rsidRPr="00EF357E">
        <w:rPr>
          <w:b/>
          <w:bCs/>
          <w:i/>
          <w:iCs/>
          <w:sz w:val="22"/>
          <w:szCs w:val="22"/>
        </w:rPr>
        <w:t xml:space="preserve">Proposal </w:t>
      </w:r>
      <w:r>
        <w:rPr>
          <w:b/>
          <w:bCs/>
          <w:i/>
          <w:iCs/>
          <w:sz w:val="22"/>
          <w:szCs w:val="22"/>
        </w:rPr>
        <w:t>3</w:t>
      </w:r>
      <w:r w:rsidRPr="00A20DBA">
        <w:rPr>
          <w:b/>
          <w:bCs/>
          <w:i/>
          <w:iCs/>
          <w:sz w:val="22"/>
          <w:szCs w:val="22"/>
        </w:rPr>
        <w:t>:</w:t>
      </w:r>
      <w:r w:rsidRPr="00A20DBA">
        <w:rPr>
          <w:i/>
          <w:iCs/>
          <w:sz w:val="22"/>
          <w:szCs w:val="22"/>
        </w:rPr>
        <w:t xml:space="preserve"> Channel Access Mechanisms for single-carrier and multi-carrier modes should be supported.</w:t>
      </w:r>
    </w:p>
    <w:p w14:paraId="2DDB11DE" w14:textId="77777777" w:rsidR="00EB7A24" w:rsidRPr="00EF357E" w:rsidRDefault="00EB7A24" w:rsidP="00790F07">
      <w:pPr>
        <w:pStyle w:val="ListParagraph"/>
        <w:numPr>
          <w:ilvl w:val="0"/>
          <w:numId w:val="9"/>
        </w:numPr>
        <w:ind w:leftChars="0"/>
        <w:jc w:val="both"/>
        <w:rPr>
          <w:i/>
          <w:iCs/>
          <w:sz w:val="22"/>
          <w:szCs w:val="22"/>
        </w:rPr>
      </w:pPr>
      <w:r w:rsidRPr="00EF357E">
        <w:rPr>
          <w:i/>
          <w:iCs/>
          <w:sz w:val="22"/>
          <w:szCs w:val="22"/>
        </w:rPr>
        <w:t>When LBT is used, study channel access mechanisms assuming CCA on a bandwidth greater than the operating bandwidth</w:t>
      </w:r>
    </w:p>
    <w:p w14:paraId="48494F9C" w14:textId="18C0491F" w:rsidR="00EB7A24" w:rsidRPr="00A20DBA" w:rsidRDefault="00EB7A24" w:rsidP="00790F07">
      <w:pPr>
        <w:numPr>
          <w:ilvl w:val="0"/>
          <w:numId w:val="8"/>
        </w:numPr>
        <w:jc w:val="both"/>
        <w:rPr>
          <w:i/>
          <w:iCs/>
          <w:sz w:val="22"/>
          <w:szCs w:val="22"/>
        </w:rPr>
      </w:pPr>
      <w:r w:rsidRPr="00A20DBA">
        <w:rPr>
          <w:i/>
          <w:iCs/>
          <w:sz w:val="22"/>
          <w:szCs w:val="22"/>
        </w:rPr>
        <w:t xml:space="preserve">Allow support for multi-carrier CCA where each carrier is smaller than the </w:t>
      </w:r>
      <w:r w:rsidR="00ED23BE">
        <w:rPr>
          <w:i/>
          <w:iCs/>
          <w:sz w:val="22"/>
          <w:szCs w:val="22"/>
        </w:rPr>
        <w:t>CCA bandwidth</w:t>
      </w:r>
      <w:r w:rsidRPr="00A20DBA">
        <w:rPr>
          <w:i/>
          <w:iCs/>
          <w:sz w:val="22"/>
          <w:szCs w:val="22"/>
        </w:rPr>
        <w:t xml:space="preserve">. </w:t>
      </w:r>
    </w:p>
    <w:p w14:paraId="3F7FE4F8" w14:textId="5EEE92A2" w:rsidR="00EB7A24" w:rsidRPr="00A20DBA" w:rsidRDefault="00EB7A24" w:rsidP="00790F07">
      <w:pPr>
        <w:numPr>
          <w:ilvl w:val="0"/>
          <w:numId w:val="8"/>
        </w:numPr>
        <w:jc w:val="both"/>
        <w:rPr>
          <w:i/>
          <w:iCs/>
          <w:sz w:val="22"/>
          <w:szCs w:val="22"/>
        </w:rPr>
      </w:pPr>
      <w:r w:rsidRPr="00A20DBA">
        <w:rPr>
          <w:i/>
          <w:iCs/>
          <w:sz w:val="22"/>
          <w:szCs w:val="22"/>
        </w:rPr>
        <w:t xml:space="preserve">Allow support for single-carrier CCA which is smaller than the </w:t>
      </w:r>
      <w:r w:rsidR="00ED23BE">
        <w:rPr>
          <w:i/>
          <w:iCs/>
          <w:sz w:val="22"/>
          <w:szCs w:val="22"/>
        </w:rPr>
        <w:t>CCA bandwidth</w:t>
      </w:r>
    </w:p>
    <w:p w14:paraId="66E1BC21" w14:textId="77777777" w:rsidR="00EB7A24" w:rsidRPr="00EB7A24" w:rsidRDefault="00EB7A24" w:rsidP="00EB7A24">
      <w:pPr>
        <w:jc w:val="both"/>
        <w:rPr>
          <w:rFonts w:cs="Batang"/>
          <w:i/>
          <w:iCs/>
          <w:sz w:val="22"/>
          <w:szCs w:val="22"/>
          <w:lang w:eastAsia="en-US"/>
        </w:rPr>
      </w:pPr>
    </w:p>
    <w:p w14:paraId="47857ECF" w14:textId="34886C40" w:rsidR="00EB7A24" w:rsidRDefault="00F90A07" w:rsidP="00EB7A24">
      <w:pPr>
        <w:rPr>
          <w:bCs/>
          <w:i/>
          <w:sz w:val="22"/>
          <w:szCs w:val="22"/>
        </w:rPr>
      </w:pPr>
      <w:r>
        <w:rPr>
          <w:rFonts w:cs="Batang"/>
          <w:i/>
          <w:iCs/>
          <w:sz w:val="22"/>
          <w:szCs w:val="22"/>
          <w:lang w:val="en-GB" w:eastAsia="en-US"/>
        </w:rPr>
        <w:t xml:space="preserve"> </w:t>
      </w:r>
      <w:r w:rsidR="00EB7A24" w:rsidRPr="002758D3">
        <w:rPr>
          <w:b/>
          <w:i/>
          <w:sz w:val="22"/>
          <w:szCs w:val="22"/>
        </w:rPr>
        <w:t xml:space="preserve">Proposal </w:t>
      </w:r>
      <w:r w:rsidR="00EB7A24">
        <w:rPr>
          <w:b/>
          <w:i/>
          <w:sz w:val="22"/>
          <w:szCs w:val="22"/>
        </w:rPr>
        <w:t>4</w:t>
      </w:r>
      <w:r w:rsidR="00EB7A24" w:rsidRPr="002758D3">
        <w:rPr>
          <w:b/>
          <w:i/>
          <w:sz w:val="22"/>
          <w:szCs w:val="22"/>
        </w:rPr>
        <w:t xml:space="preserve">: </w:t>
      </w:r>
      <w:r w:rsidR="00EB7A24">
        <w:rPr>
          <w:bCs/>
          <w:i/>
          <w:sz w:val="22"/>
          <w:szCs w:val="22"/>
        </w:rPr>
        <w:t>RAN1</w:t>
      </w:r>
      <w:r w:rsidR="00EB7A24" w:rsidRPr="002758D3">
        <w:rPr>
          <w:bCs/>
          <w:i/>
          <w:sz w:val="22"/>
          <w:szCs w:val="22"/>
        </w:rPr>
        <w:t xml:space="preserve"> to </w:t>
      </w:r>
      <w:r w:rsidR="00EB7A24">
        <w:rPr>
          <w:bCs/>
          <w:i/>
          <w:sz w:val="22"/>
          <w:szCs w:val="22"/>
        </w:rPr>
        <w:t xml:space="preserve">support directional LBT in scenarios where LBT is mandated. </w:t>
      </w:r>
    </w:p>
    <w:p w14:paraId="70ADA9B7" w14:textId="5154C2D9" w:rsidR="00EB7A24" w:rsidRDefault="00EB7A24" w:rsidP="00EB7A24">
      <w:pPr>
        <w:rPr>
          <w:bCs/>
          <w:i/>
          <w:sz w:val="22"/>
          <w:szCs w:val="22"/>
        </w:rPr>
      </w:pPr>
    </w:p>
    <w:p w14:paraId="3BC3D1EE" w14:textId="7F36A4B5" w:rsidR="00EB7A24" w:rsidRDefault="00EB7A24" w:rsidP="00EB7A24">
      <w:pPr>
        <w:jc w:val="both"/>
        <w:rPr>
          <w:sz w:val="22"/>
          <w:szCs w:val="22"/>
        </w:rPr>
      </w:pPr>
      <w:r w:rsidRPr="002758D3">
        <w:rPr>
          <w:b/>
          <w:i/>
          <w:sz w:val="22"/>
          <w:szCs w:val="22"/>
        </w:rPr>
        <w:t xml:space="preserve">Proposal </w:t>
      </w:r>
      <w:r>
        <w:rPr>
          <w:b/>
          <w:i/>
          <w:sz w:val="22"/>
          <w:szCs w:val="22"/>
        </w:rPr>
        <w:t>5</w:t>
      </w:r>
      <w:r w:rsidRPr="002758D3">
        <w:rPr>
          <w:b/>
          <w:i/>
          <w:sz w:val="22"/>
          <w:szCs w:val="22"/>
        </w:rPr>
        <w:t xml:space="preserve">: </w:t>
      </w:r>
      <w:r>
        <w:rPr>
          <w:bCs/>
          <w:i/>
          <w:sz w:val="22"/>
          <w:szCs w:val="22"/>
        </w:rPr>
        <w:t>RAN1</w:t>
      </w:r>
      <w:r w:rsidRPr="002758D3">
        <w:rPr>
          <w:bCs/>
          <w:i/>
          <w:sz w:val="22"/>
          <w:szCs w:val="22"/>
        </w:rPr>
        <w:t xml:space="preserve"> to </w:t>
      </w:r>
      <w:r>
        <w:rPr>
          <w:bCs/>
          <w:i/>
          <w:sz w:val="22"/>
          <w:szCs w:val="22"/>
        </w:rPr>
        <w:t xml:space="preserve">support </w:t>
      </w:r>
      <w:r w:rsidRPr="002758D3">
        <w:rPr>
          <w:bCs/>
          <w:i/>
          <w:sz w:val="22"/>
          <w:szCs w:val="22"/>
        </w:rPr>
        <w:t xml:space="preserve"> an RTS/CTS</w:t>
      </w:r>
      <w:r>
        <w:rPr>
          <w:bCs/>
          <w:i/>
          <w:sz w:val="22"/>
          <w:szCs w:val="22"/>
        </w:rPr>
        <w:t>-like</w:t>
      </w:r>
      <w:r w:rsidRPr="002758D3">
        <w:rPr>
          <w:bCs/>
          <w:i/>
          <w:sz w:val="22"/>
          <w:szCs w:val="22"/>
        </w:rPr>
        <w:t xml:space="preserve"> mechanism to help </w:t>
      </w:r>
      <w:r>
        <w:rPr>
          <w:bCs/>
          <w:i/>
          <w:sz w:val="22"/>
          <w:szCs w:val="22"/>
        </w:rPr>
        <w:t xml:space="preserve">in </w:t>
      </w:r>
      <w:r w:rsidRPr="002758D3">
        <w:rPr>
          <w:bCs/>
          <w:i/>
          <w:sz w:val="22"/>
          <w:szCs w:val="22"/>
        </w:rPr>
        <w:t xml:space="preserve">mitigating </w:t>
      </w:r>
      <w:r>
        <w:rPr>
          <w:bCs/>
          <w:i/>
          <w:sz w:val="22"/>
          <w:szCs w:val="22"/>
        </w:rPr>
        <w:t xml:space="preserve">directional interference or </w:t>
      </w:r>
      <w:r w:rsidRPr="002758D3">
        <w:rPr>
          <w:bCs/>
          <w:i/>
          <w:sz w:val="22"/>
          <w:szCs w:val="22"/>
        </w:rPr>
        <w:t>potential hidden node issue</w:t>
      </w:r>
      <w:r>
        <w:rPr>
          <w:bCs/>
          <w:i/>
          <w:sz w:val="22"/>
          <w:szCs w:val="22"/>
        </w:rPr>
        <w:t>s in scenarios where LBT is mandated.</w:t>
      </w:r>
    </w:p>
    <w:p w14:paraId="45313AC5" w14:textId="675EA70F" w:rsidR="00F90A07" w:rsidRPr="002758D3" w:rsidRDefault="00F90A07" w:rsidP="00F90A07">
      <w:pPr>
        <w:jc w:val="both"/>
        <w:rPr>
          <w:i/>
          <w:iCs/>
          <w:sz w:val="22"/>
          <w:szCs w:val="22"/>
        </w:rPr>
      </w:pPr>
      <w:r>
        <w:rPr>
          <w:rFonts w:cs="Batang"/>
          <w:i/>
          <w:iCs/>
          <w:sz w:val="22"/>
          <w:szCs w:val="22"/>
          <w:lang w:val="en-GB" w:eastAsia="en-US"/>
        </w:rPr>
        <w:t xml:space="preserve">                 </w:t>
      </w:r>
    </w:p>
    <w:p w14:paraId="2A5BA4DC" w14:textId="6DB80A0A" w:rsidR="002134C9" w:rsidRPr="008134DE" w:rsidRDefault="002134C9" w:rsidP="008134DE">
      <w:pPr>
        <w:pStyle w:val="Heading1"/>
      </w:pPr>
      <w:r w:rsidRPr="008134DE">
        <w:t>Reference</w:t>
      </w:r>
    </w:p>
    <w:p w14:paraId="0B6D7752" w14:textId="1993E170" w:rsidR="008F2E02" w:rsidRDefault="008F2E02" w:rsidP="00790F07">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5" w:name="_Ref40195690"/>
      <w:r w:rsidRPr="00B60B4F">
        <w:rPr>
          <w:bCs/>
          <w:sz w:val="22"/>
          <w:szCs w:val="22"/>
          <w:lang w:val="en-GB"/>
        </w:rPr>
        <w:t>RP-193259, New SID: Study on supporting NR from 52.6GHz to 71 GHz</w:t>
      </w:r>
      <w:bookmarkEnd w:id="5"/>
      <w:r w:rsidR="0011783E">
        <w:rPr>
          <w:bCs/>
          <w:sz w:val="22"/>
          <w:szCs w:val="22"/>
          <w:lang w:val="en-GB"/>
        </w:rPr>
        <w:t>, RAN #86</w:t>
      </w:r>
    </w:p>
    <w:p w14:paraId="4E298D70" w14:textId="61804F35" w:rsidR="0011783E" w:rsidRDefault="0011783E" w:rsidP="00790F07">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6" w:name="_Ref47610377"/>
      <w:r>
        <w:rPr>
          <w:bCs/>
          <w:sz w:val="22"/>
          <w:szCs w:val="22"/>
          <w:lang w:val="en-GB"/>
        </w:rPr>
        <w:t xml:space="preserve">RP-200902, </w:t>
      </w:r>
      <w:r w:rsidRPr="0011783E">
        <w:rPr>
          <w:bCs/>
          <w:sz w:val="22"/>
          <w:szCs w:val="22"/>
          <w:lang w:val="en-GB"/>
        </w:rPr>
        <w:t>Revised SID: Study on supporting NR from 52.6GHz to 71 GHz</w:t>
      </w:r>
      <w:r>
        <w:rPr>
          <w:bCs/>
          <w:sz w:val="22"/>
          <w:szCs w:val="22"/>
          <w:lang w:val="en-GB"/>
        </w:rPr>
        <w:t>, RAN #88e</w:t>
      </w:r>
      <w:bookmarkEnd w:id="6"/>
    </w:p>
    <w:p w14:paraId="126B9BC5" w14:textId="40061F59" w:rsidR="00644D03" w:rsidRDefault="00644D03" w:rsidP="00790F07">
      <w:pPr>
        <w:numPr>
          <w:ilvl w:val="0"/>
          <w:numId w:val="2"/>
        </w:numPr>
        <w:overflowPunct w:val="0"/>
        <w:autoSpaceDE w:val="0"/>
        <w:autoSpaceDN w:val="0"/>
        <w:adjustRightInd w:val="0"/>
        <w:spacing w:before="100" w:beforeAutospacing="1" w:after="120"/>
        <w:ind w:left="562" w:hanging="562"/>
        <w:textAlignment w:val="baseline"/>
        <w:rPr>
          <w:bCs/>
          <w:sz w:val="22"/>
          <w:szCs w:val="22"/>
          <w:lang w:val="en-GB"/>
        </w:rPr>
      </w:pPr>
      <w:bookmarkStart w:id="7" w:name="_Ref53737700"/>
      <w:r>
        <w:rPr>
          <w:bCs/>
          <w:sz w:val="22"/>
          <w:szCs w:val="22"/>
          <w:lang w:val="en-GB"/>
        </w:rPr>
        <w:t>Chairman’s Notes, RAN1 #102-e</w:t>
      </w:r>
      <w:bookmarkEnd w:id="7"/>
      <w:r w:rsidR="00EB7A24">
        <w:rPr>
          <w:bCs/>
          <w:sz w:val="22"/>
          <w:szCs w:val="22"/>
          <w:lang w:val="en-GB"/>
        </w:rPr>
        <w:t>, August 2020</w:t>
      </w:r>
    </w:p>
    <w:p w14:paraId="57EEA1AA" w14:textId="77777777" w:rsidR="00034C09" w:rsidRPr="00034C09" w:rsidRDefault="00034C09" w:rsidP="00790F07">
      <w:pPr>
        <w:numPr>
          <w:ilvl w:val="0"/>
          <w:numId w:val="2"/>
        </w:numPr>
        <w:overflowPunct w:val="0"/>
        <w:autoSpaceDE w:val="0"/>
        <w:autoSpaceDN w:val="0"/>
        <w:adjustRightInd w:val="0"/>
        <w:spacing w:before="100" w:beforeAutospacing="1" w:after="120"/>
        <w:ind w:left="562" w:hanging="562"/>
        <w:textAlignment w:val="baseline"/>
        <w:rPr>
          <w:sz w:val="22"/>
          <w:szCs w:val="22"/>
        </w:rPr>
      </w:pPr>
      <w:bookmarkStart w:id="8" w:name="_Ref47613100"/>
      <w:bookmarkStart w:id="9" w:name="_Ref40392390"/>
      <w:r>
        <w:rPr>
          <w:sz w:val="22"/>
          <w:szCs w:val="22"/>
          <w:lang w:val="en-GB"/>
        </w:rPr>
        <w:t xml:space="preserve">R4-2009945, </w:t>
      </w:r>
      <w:r w:rsidRPr="005E4239">
        <w:rPr>
          <w:sz w:val="22"/>
          <w:szCs w:val="22"/>
          <w:lang w:val="en-GB"/>
        </w:rPr>
        <w:t>Initial considerations on the numerology and channel bandwidth sizes for 60GHz frequency range</w:t>
      </w:r>
      <w:r>
        <w:rPr>
          <w:sz w:val="22"/>
          <w:szCs w:val="22"/>
          <w:lang w:val="en-GB"/>
        </w:rPr>
        <w:t>. Apple</w:t>
      </w:r>
      <w:bookmarkEnd w:id="8"/>
    </w:p>
    <w:p w14:paraId="7E3F5FC7" w14:textId="77777777" w:rsidR="00085500" w:rsidRPr="00B60B4F" w:rsidRDefault="00085500" w:rsidP="00790F07">
      <w:pPr>
        <w:numPr>
          <w:ilvl w:val="0"/>
          <w:numId w:val="2"/>
        </w:numPr>
        <w:overflowPunct w:val="0"/>
        <w:autoSpaceDE w:val="0"/>
        <w:autoSpaceDN w:val="0"/>
        <w:adjustRightInd w:val="0"/>
        <w:spacing w:before="100" w:beforeAutospacing="1" w:after="120"/>
        <w:ind w:left="562" w:hanging="562"/>
        <w:textAlignment w:val="baseline"/>
        <w:rPr>
          <w:sz w:val="22"/>
          <w:szCs w:val="22"/>
        </w:rPr>
      </w:pPr>
      <w:bookmarkStart w:id="10" w:name="_Ref53741569"/>
      <w:r w:rsidRPr="00B60B4F">
        <w:rPr>
          <w:sz w:val="22"/>
          <w:szCs w:val="22"/>
        </w:rPr>
        <w:t xml:space="preserve">Recommendation ITU-R </w:t>
      </w:r>
      <w:r w:rsidR="00673B70" w:rsidRPr="00B60B4F">
        <w:rPr>
          <w:sz w:val="22"/>
          <w:szCs w:val="22"/>
        </w:rPr>
        <w:t>M.2003 : Multiple gigabit wireless systems in frequencies around 60 GHz, 01/2018</w:t>
      </w:r>
      <w:bookmarkEnd w:id="9"/>
      <w:bookmarkEnd w:id="10"/>
    </w:p>
    <w:p w14:paraId="45F876A4" w14:textId="77777777" w:rsidR="00085500" w:rsidRPr="00B60B4F" w:rsidRDefault="00085500" w:rsidP="00790F07">
      <w:pPr>
        <w:numPr>
          <w:ilvl w:val="0"/>
          <w:numId w:val="2"/>
        </w:numPr>
        <w:overflowPunct w:val="0"/>
        <w:autoSpaceDE w:val="0"/>
        <w:autoSpaceDN w:val="0"/>
        <w:adjustRightInd w:val="0"/>
        <w:spacing w:before="100" w:beforeAutospacing="1" w:after="120"/>
        <w:ind w:left="562" w:hanging="562"/>
        <w:textAlignment w:val="baseline"/>
        <w:rPr>
          <w:sz w:val="22"/>
          <w:szCs w:val="22"/>
        </w:rPr>
      </w:pPr>
      <w:bookmarkStart w:id="11" w:name="_Ref40393515"/>
      <w:r w:rsidRPr="00B60B4F">
        <w:rPr>
          <w:bCs/>
          <w:sz w:val="22"/>
          <w:szCs w:val="22"/>
          <w:lang w:val="en-GB"/>
        </w:rPr>
        <w:t>ETSI EN 301 893 V2.1.1 (2017-05), 5 GHz RLAN; Harmonised Standard covering the essential requirements of article 3.2 of Directive 2014/53/EU</w:t>
      </w:r>
      <w:bookmarkEnd w:id="11"/>
    </w:p>
    <w:p w14:paraId="4D46F861" w14:textId="6EAD1EC4" w:rsidR="00673B70" w:rsidRPr="00CD70F3" w:rsidRDefault="00141345" w:rsidP="00790F07">
      <w:pPr>
        <w:numPr>
          <w:ilvl w:val="0"/>
          <w:numId w:val="2"/>
        </w:numPr>
        <w:overflowPunct w:val="0"/>
        <w:autoSpaceDE w:val="0"/>
        <w:autoSpaceDN w:val="0"/>
        <w:adjustRightInd w:val="0"/>
        <w:spacing w:before="100" w:beforeAutospacing="1" w:after="120"/>
        <w:ind w:left="562" w:hanging="562"/>
        <w:textAlignment w:val="baseline"/>
        <w:rPr>
          <w:sz w:val="22"/>
          <w:szCs w:val="22"/>
        </w:rPr>
      </w:pPr>
      <w:bookmarkStart w:id="12" w:name="_Ref40413541"/>
      <w:r w:rsidRPr="003C3565">
        <w:rPr>
          <w:rFonts w:cs="Batang"/>
          <w:sz w:val="22"/>
          <w:szCs w:val="22"/>
          <w:lang w:eastAsia="en-US"/>
        </w:rPr>
        <w:t>ETSI EN 302.567 v2.1.20</w:t>
      </w:r>
      <w:r w:rsidRPr="00B60B4F">
        <w:rPr>
          <w:bCs/>
          <w:sz w:val="22"/>
          <w:szCs w:val="22"/>
        </w:rPr>
        <w:t xml:space="preserve"> </w:t>
      </w:r>
      <w:r w:rsidR="00673B70" w:rsidRPr="00B60B4F">
        <w:rPr>
          <w:bCs/>
          <w:sz w:val="22"/>
          <w:szCs w:val="22"/>
        </w:rPr>
        <w:t>(</w:t>
      </w:r>
      <w:r>
        <w:rPr>
          <w:bCs/>
          <w:sz w:val="22"/>
          <w:szCs w:val="22"/>
        </w:rPr>
        <w:t>2020-06</w:t>
      </w:r>
      <w:r w:rsidR="00673B70" w:rsidRPr="00B60B4F">
        <w:rPr>
          <w:bCs/>
          <w:sz w:val="22"/>
          <w:szCs w:val="22"/>
        </w:rPr>
        <w:t xml:space="preserve">), Multiple-Gigabit/s radio equipment operating in the 60 GHz band; </w:t>
      </w:r>
      <w:r w:rsidR="00F65FCE" w:rsidRPr="00B60B4F">
        <w:rPr>
          <w:bCs/>
          <w:sz w:val="22"/>
          <w:szCs w:val="22"/>
        </w:rPr>
        <w:t>Harmonized</w:t>
      </w:r>
      <w:r w:rsidR="00673B70" w:rsidRPr="00B60B4F">
        <w:rPr>
          <w:bCs/>
          <w:sz w:val="22"/>
          <w:szCs w:val="22"/>
        </w:rPr>
        <w:t xml:space="preserve"> Standard covering the essential requirements of article 3.2 of Directive 2014/53/EU</w:t>
      </w:r>
      <w:bookmarkEnd w:id="12"/>
      <w:r w:rsidR="00673B70" w:rsidRPr="00B60B4F">
        <w:rPr>
          <w:bCs/>
          <w:sz w:val="22"/>
          <w:szCs w:val="22"/>
        </w:rPr>
        <w:t xml:space="preserve"> </w:t>
      </w:r>
    </w:p>
    <w:p w14:paraId="619909B3" w14:textId="79DAB122" w:rsidR="00DF44A3" w:rsidRDefault="00DF44A3" w:rsidP="00790F07">
      <w:pPr>
        <w:numPr>
          <w:ilvl w:val="0"/>
          <w:numId w:val="2"/>
        </w:numPr>
        <w:overflowPunct w:val="0"/>
        <w:autoSpaceDE w:val="0"/>
        <w:autoSpaceDN w:val="0"/>
        <w:adjustRightInd w:val="0"/>
        <w:spacing w:before="100" w:beforeAutospacing="1" w:after="120"/>
        <w:ind w:left="562" w:hanging="562"/>
        <w:textAlignment w:val="baseline"/>
        <w:rPr>
          <w:sz w:val="22"/>
          <w:szCs w:val="22"/>
        </w:rPr>
      </w:pPr>
      <w:bookmarkStart w:id="13" w:name="_Ref40443455"/>
      <w:r>
        <w:rPr>
          <w:sz w:val="22"/>
          <w:szCs w:val="22"/>
        </w:rPr>
        <w:t xml:space="preserve">3GPP </w:t>
      </w:r>
      <w:r w:rsidRPr="00295B2A">
        <w:rPr>
          <w:sz w:val="22"/>
          <w:szCs w:val="22"/>
        </w:rPr>
        <w:t>38</w:t>
      </w:r>
      <w:r>
        <w:rPr>
          <w:sz w:val="22"/>
          <w:szCs w:val="22"/>
        </w:rPr>
        <w:t>.</w:t>
      </w:r>
      <w:r w:rsidRPr="00295B2A">
        <w:rPr>
          <w:sz w:val="22"/>
          <w:szCs w:val="22"/>
        </w:rPr>
        <w:t>101-2,  5G; NR; User Equipment (UE) radio transmission and reception; Part 2: Range 2 Standalone</w:t>
      </w:r>
      <w:bookmarkEnd w:id="13"/>
    </w:p>
    <w:sectPr w:rsidR="00DF44A3" w:rsidSect="008E45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1B4619"/>
    <w:multiLevelType w:val="hybridMultilevel"/>
    <w:tmpl w:val="F27ADF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36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967255"/>
    <w:multiLevelType w:val="hybridMultilevel"/>
    <w:tmpl w:val="D4242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F091693"/>
    <w:multiLevelType w:val="hybridMultilevel"/>
    <w:tmpl w:val="4E14C3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DD37F3"/>
    <w:multiLevelType w:val="hybridMultilevel"/>
    <w:tmpl w:val="43E65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39770F7"/>
    <w:multiLevelType w:val="hybridMultilevel"/>
    <w:tmpl w:val="088A14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48F6C7D"/>
    <w:multiLevelType w:val="hybridMultilevel"/>
    <w:tmpl w:val="A702A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A143586"/>
    <w:multiLevelType w:val="hybridMultilevel"/>
    <w:tmpl w:val="3810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8"/>
  </w:num>
  <w:num w:numId="6">
    <w:abstractNumId w:val="7"/>
  </w:num>
  <w:num w:numId="7">
    <w:abstractNumId w:val="3"/>
  </w:num>
  <w:num w:numId="8">
    <w:abstractNumId w:val="9"/>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9"/>
  <w:removePersonalInformation/>
  <w:removeDateAndTim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AC2"/>
    <w:rsid w:val="00000CE1"/>
    <w:rsid w:val="00005D7F"/>
    <w:rsid w:val="00007041"/>
    <w:rsid w:val="00007C75"/>
    <w:rsid w:val="00010082"/>
    <w:rsid w:val="0001724A"/>
    <w:rsid w:val="000212EC"/>
    <w:rsid w:val="00023A6D"/>
    <w:rsid w:val="00024CD4"/>
    <w:rsid w:val="00026645"/>
    <w:rsid w:val="00031E68"/>
    <w:rsid w:val="00032FD3"/>
    <w:rsid w:val="00033C6F"/>
    <w:rsid w:val="00033D5B"/>
    <w:rsid w:val="00034C09"/>
    <w:rsid w:val="00041988"/>
    <w:rsid w:val="00044CC2"/>
    <w:rsid w:val="00044EAE"/>
    <w:rsid w:val="000469C0"/>
    <w:rsid w:val="0005095F"/>
    <w:rsid w:val="0005612B"/>
    <w:rsid w:val="00056CD3"/>
    <w:rsid w:val="000605BB"/>
    <w:rsid w:val="00062327"/>
    <w:rsid w:val="00073136"/>
    <w:rsid w:val="000833DB"/>
    <w:rsid w:val="00085500"/>
    <w:rsid w:val="00087B6E"/>
    <w:rsid w:val="00092209"/>
    <w:rsid w:val="000A1890"/>
    <w:rsid w:val="000A2AAA"/>
    <w:rsid w:val="000A7DA5"/>
    <w:rsid w:val="000C3D00"/>
    <w:rsid w:val="000C560B"/>
    <w:rsid w:val="000C62A2"/>
    <w:rsid w:val="000D1A8F"/>
    <w:rsid w:val="000E01F4"/>
    <w:rsid w:val="000F2C70"/>
    <w:rsid w:val="000F380E"/>
    <w:rsid w:val="0010119A"/>
    <w:rsid w:val="001144DC"/>
    <w:rsid w:val="00116CE5"/>
    <w:rsid w:val="0011783E"/>
    <w:rsid w:val="0012068C"/>
    <w:rsid w:val="001207E3"/>
    <w:rsid w:val="00127219"/>
    <w:rsid w:val="0014015E"/>
    <w:rsid w:val="00140849"/>
    <w:rsid w:val="00141345"/>
    <w:rsid w:val="00143F2E"/>
    <w:rsid w:val="001454B7"/>
    <w:rsid w:val="00153773"/>
    <w:rsid w:val="001572A4"/>
    <w:rsid w:val="00163E9A"/>
    <w:rsid w:val="001779C8"/>
    <w:rsid w:val="0018607A"/>
    <w:rsid w:val="00192573"/>
    <w:rsid w:val="00194352"/>
    <w:rsid w:val="00194BBD"/>
    <w:rsid w:val="001B2AEE"/>
    <w:rsid w:val="001D5CE5"/>
    <w:rsid w:val="001D749D"/>
    <w:rsid w:val="001D7E91"/>
    <w:rsid w:val="002047D4"/>
    <w:rsid w:val="002134C9"/>
    <w:rsid w:val="00252B41"/>
    <w:rsid w:val="00266E0F"/>
    <w:rsid w:val="002738F9"/>
    <w:rsid w:val="00274F27"/>
    <w:rsid w:val="002758D3"/>
    <w:rsid w:val="00276E66"/>
    <w:rsid w:val="00284AB0"/>
    <w:rsid w:val="00285B13"/>
    <w:rsid w:val="00285DD5"/>
    <w:rsid w:val="002948FF"/>
    <w:rsid w:val="002972B7"/>
    <w:rsid w:val="002A274D"/>
    <w:rsid w:val="002A5B21"/>
    <w:rsid w:val="002A5C7D"/>
    <w:rsid w:val="002B030A"/>
    <w:rsid w:val="002B05B7"/>
    <w:rsid w:val="002B162B"/>
    <w:rsid w:val="002B504B"/>
    <w:rsid w:val="002B5FC9"/>
    <w:rsid w:val="002B72F3"/>
    <w:rsid w:val="002C0AB0"/>
    <w:rsid w:val="002C4EFD"/>
    <w:rsid w:val="002C57AC"/>
    <w:rsid w:val="002D41EF"/>
    <w:rsid w:val="002E62B8"/>
    <w:rsid w:val="002E7927"/>
    <w:rsid w:val="003105DC"/>
    <w:rsid w:val="00322C4E"/>
    <w:rsid w:val="0034266A"/>
    <w:rsid w:val="0034417B"/>
    <w:rsid w:val="0035494F"/>
    <w:rsid w:val="00356A2B"/>
    <w:rsid w:val="00366F52"/>
    <w:rsid w:val="003715EE"/>
    <w:rsid w:val="003900E7"/>
    <w:rsid w:val="003918D8"/>
    <w:rsid w:val="003A0742"/>
    <w:rsid w:val="003B5721"/>
    <w:rsid w:val="003C3565"/>
    <w:rsid w:val="003E75B6"/>
    <w:rsid w:val="003E7696"/>
    <w:rsid w:val="003F2F79"/>
    <w:rsid w:val="003F670D"/>
    <w:rsid w:val="00402A51"/>
    <w:rsid w:val="0040315C"/>
    <w:rsid w:val="00405A98"/>
    <w:rsid w:val="00406FB8"/>
    <w:rsid w:val="00417FC9"/>
    <w:rsid w:val="00425D1A"/>
    <w:rsid w:val="00430AB1"/>
    <w:rsid w:val="00431CD3"/>
    <w:rsid w:val="0043338E"/>
    <w:rsid w:val="004372AA"/>
    <w:rsid w:val="00446818"/>
    <w:rsid w:val="004578FD"/>
    <w:rsid w:val="00461B15"/>
    <w:rsid w:val="00462395"/>
    <w:rsid w:val="00475C2B"/>
    <w:rsid w:val="00482475"/>
    <w:rsid w:val="00490012"/>
    <w:rsid w:val="00496D0C"/>
    <w:rsid w:val="00497F47"/>
    <w:rsid w:val="004A41EF"/>
    <w:rsid w:val="004B1C85"/>
    <w:rsid w:val="004B2C35"/>
    <w:rsid w:val="004B3124"/>
    <w:rsid w:val="004B74CC"/>
    <w:rsid w:val="004C152A"/>
    <w:rsid w:val="004E4A0C"/>
    <w:rsid w:val="004F1A3E"/>
    <w:rsid w:val="0050538C"/>
    <w:rsid w:val="005150C5"/>
    <w:rsid w:val="00517ADD"/>
    <w:rsid w:val="00523E3D"/>
    <w:rsid w:val="005249B0"/>
    <w:rsid w:val="00530AB8"/>
    <w:rsid w:val="005363A1"/>
    <w:rsid w:val="0053782C"/>
    <w:rsid w:val="00550F71"/>
    <w:rsid w:val="00556671"/>
    <w:rsid w:val="00570639"/>
    <w:rsid w:val="0058082D"/>
    <w:rsid w:val="005811A6"/>
    <w:rsid w:val="005954E4"/>
    <w:rsid w:val="005B01C4"/>
    <w:rsid w:val="005B1AD1"/>
    <w:rsid w:val="005B6997"/>
    <w:rsid w:val="005C3830"/>
    <w:rsid w:val="005C7D22"/>
    <w:rsid w:val="005D45F7"/>
    <w:rsid w:val="005D57A7"/>
    <w:rsid w:val="005E1D6C"/>
    <w:rsid w:val="005E4239"/>
    <w:rsid w:val="005F0B11"/>
    <w:rsid w:val="005F5A01"/>
    <w:rsid w:val="005F7A0E"/>
    <w:rsid w:val="00615713"/>
    <w:rsid w:val="0061765C"/>
    <w:rsid w:val="00621B57"/>
    <w:rsid w:val="00626534"/>
    <w:rsid w:val="00631A14"/>
    <w:rsid w:val="00635837"/>
    <w:rsid w:val="006367B1"/>
    <w:rsid w:val="00636D7B"/>
    <w:rsid w:val="00644476"/>
    <w:rsid w:val="00644D03"/>
    <w:rsid w:val="00652435"/>
    <w:rsid w:val="006531B1"/>
    <w:rsid w:val="00661178"/>
    <w:rsid w:val="00664689"/>
    <w:rsid w:val="006664E6"/>
    <w:rsid w:val="00673B70"/>
    <w:rsid w:val="006764AB"/>
    <w:rsid w:val="006765F4"/>
    <w:rsid w:val="006808DA"/>
    <w:rsid w:val="00685938"/>
    <w:rsid w:val="006A45D6"/>
    <w:rsid w:val="006B2682"/>
    <w:rsid w:val="006B3305"/>
    <w:rsid w:val="006B5C14"/>
    <w:rsid w:val="006D006D"/>
    <w:rsid w:val="006D4A8D"/>
    <w:rsid w:val="006D54CF"/>
    <w:rsid w:val="006E62CF"/>
    <w:rsid w:val="006F0EC9"/>
    <w:rsid w:val="006F378B"/>
    <w:rsid w:val="007003F1"/>
    <w:rsid w:val="00704C59"/>
    <w:rsid w:val="00732388"/>
    <w:rsid w:val="007332EA"/>
    <w:rsid w:val="00733B2B"/>
    <w:rsid w:val="00745905"/>
    <w:rsid w:val="00750A0B"/>
    <w:rsid w:val="007544F6"/>
    <w:rsid w:val="00766534"/>
    <w:rsid w:val="00766F27"/>
    <w:rsid w:val="0078114E"/>
    <w:rsid w:val="007879E8"/>
    <w:rsid w:val="00790F07"/>
    <w:rsid w:val="007977DB"/>
    <w:rsid w:val="007A1B25"/>
    <w:rsid w:val="007A4C20"/>
    <w:rsid w:val="007B1791"/>
    <w:rsid w:val="007B5B1F"/>
    <w:rsid w:val="007C405F"/>
    <w:rsid w:val="007C66D3"/>
    <w:rsid w:val="007D0B54"/>
    <w:rsid w:val="007D61E0"/>
    <w:rsid w:val="007E554B"/>
    <w:rsid w:val="007E6FF6"/>
    <w:rsid w:val="007F07F8"/>
    <w:rsid w:val="007F128C"/>
    <w:rsid w:val="007F4D2C"/>
    <w:rsid w:val="0080600C"/>
    <w:rsid w:val="0081013A"/>
    <w:rsid w:val="0081180F"/>
    <w:rsid w:val="008134DE"/>
    <w:rsid w:val="008144EA"/>
    <w:rsid w:val="00816034"/>
    <w:rsid w:val="00821C29"/>
    <w:rsid w:val="00824EBE"/>
    <w:rsid w:val="008273C9"/>
    <w:rsid w:val="0086332B"/>
    <w:rsid w:val="0086366B"/>
    <w:rsid w:val="00873C38"/>
    <w:rsid w:val="0087681E"/>
    <w:rsid w:val="00877EEF"/>
    <w:rsid w:val="00883F61"/>
    <w:rsid w:val="0089138A"/>
    <w:rsid w:val="00894787"/>
    <w:rsid w:val="00895000"/>
    <w:rsid w:val="008A25E9"/>
    <w:rsid w:val="008A65A1"/>
    <w:rsid w:val="008B24BF"/>
    <w:rsid w:val="008B3B70"/>
    <w:rsid w:val="008B3B71"/>
    <w:rsid w:val="008B4BE8"/>
    <w:rsid w:val="008D0789"/>
    <w:rsid w:val="008D1863"/>
    <w:rsid w:val="008D6AE1"/>
    <w:rsid w:val="008E4530"/>
    <w:rsid w:val="008E5031"/>
    <w:rsid w:val="008F2E02"/>
    <w:rsid w:val="008F70CD"/>
    <w:rsid w:val="008F78E4"/>
    <w:rsid w:val="0090165A"/>
    <w:rsid w:val="009041E5"/>
    <w:rsid w:val="00905E3A"/>
    <w:rsid w:val="00911E05"/>
    <w:rsid w:val="00911EFA"/>
    <w:rsid w:val="009169C4"/>
    <w:rsid w:val="00916E49"/>
    <w:rsid w:val="00920D1B"/>
    <w:rsid w:val="00923A3D"/>
    <w:rsid w:val="00931DE7"/>
    <w:rsid w:val="00932A93"/>
    <w:rsid w:val="00933BA9"/>
    <w:rsid w:val="00935E6B"/>
    <w:rsid w:val="00952748"/>
    <w:rsid w:val="009561E2"/>
    <w:rsid w:val="00963398"/>
    <w:rsid w:val="00970AA3"/>
    <w:rsid w:val="00977119"/>
    <w:rsid w:val="00980153"/>
    <w:rsid w:val="00983F09"/>
    <w:rsid w:val="009A55AA"/>
    <w:rsid w:val="009B15B5"/>
    <w:rsid w:val="009C255E"/>
    <w:rsid w:val="009D1C4F"/>
    <w:rsid w:val="009D6489"/>
    <w:rsid w:val="009E0E57"/>
    <w:rsid w:val="009F58CE"/>
    <w:rsid w:val="009F7D20"/>
    <w:rsid w:val="00A025EC"/>
    <w:rsid w:val="00A1036A"/>
    <w:rsid w:val="00A11A32"/>
    <w:rsid w:val="00A159B3"/>
    <w:rsid w:val="00A2030C"/>
    <w:rsid w:val="00A20DBA"/>
    <w:rsid w:val="00A215CB"/>
    <w:rsid w:val="00A23697"/>
    <w:rsid w:val="00A25CB0"/>
    <w:rsid w:val="00A3161B"/>
    <w:rsid w:val="00A352F0"/>
    <w:rsid w:val="00A36981"/>
    <w:rsid w:val="00A41183"/>
    <w:rsid w:val="00A41EE3"/>
    <w:rsid w:val="00A51C5F"/>
    <w:rsid w:val="00A71667"/>
    <w:rsid w:val="00A805B9"/>
    <w:rsid w:val="00A934CF"/>
    <w:rsid w:val="00A93DEE"/>
    <w:rsid w:val="00A95A78"/>
    <w:rsid w:val="00AA1820"/>
    <w:rsid w:val="00AA32E9"/>
    <w:rsid w:val="00AB2274"/>
    <w:rsid w:val="00AB26E1"/>
    <w:rsid w:val="00AC46E5"/>
    <w:rsid w:val="00AD1997"/>
    <w:rsid w:val="00AE42B6"/>
    <w:rsid w:val="00AE79CA"/>
    <w:rsid w:val="00AF13FC"/>
    <w:rsid w:val="00B0669A"/>
    <w:rsid w:val="00B07AF0"/>
    <w:rsid w:val="00B14FC6"/>
    <w:rsid w:val="00B1512A"/>
    <w:rsid w:val="00B22D4A"/>
    <w:rsid w:val="00B23071"/>
    <w:rsid w:val="00B23EB7"/>
    <w:rsid w:val="00B437B0"/>
    <w:rsid w:val="00B60B4F"/>
    <w:rsid w:val="00B706ED"/>
    <w:rsid w:val="00B72388"/>
    <w:rsid w:val="00B826ED"/>
    <w:rsid w:val="00B875E8"/>
    <w:rsid w:val="00B959B3"/>
    <w:rsid w:val="00B961EB"/>
    <w:rsid w:val="00BA699F"/>
    <w:rsid w:val="00BB421A"/>
    <w:rsid w:val="00BB5FC3"/>
    <w:rsid w:val="00BB64B1"/>
    <w:rsid w:val="00BB761F"/>
    <w:rsid w:val="00BD0141"/>
    <w:rsid w:val="00BD0525"/>
    <w:rsid w:val="00BD32F5"/>
    <w:rsid w:val="00BD76CD"/>
    <w:rsid w:val="00BF1113"/>
    <w:rsid w:val="00BF608F"/>
    <w:rsid w:val="00BF6DEF"/>
    <w:rsid w:val="00C019FA"/>
    <w:rsid w:val="00C02175"/>
    <w:rsid w:val="00C04914"/>
    <w:rsid w:val="00C116D7"/>
    <w:rsid w:val="00C13224"/>
    <w:rsid w:val="00C143F3"/>
    <w:rsid w:val="00C144FF"/>
    <w:rsid w:val="00C22DD7"/>
    <w:rsid w:val="00C231D3"/>
    <w:rsid w:val="00C27AE7"/>
    <w:rsid w:val="00C33617"/>
    <w:rsid w:val="00C34E45"/>
    <w:rsid w:val="00C36E32"/>
    <w:rsid w:val="00C40398"/>
    <w:rsid w:val="00C42379"/>
    <w:rsid w:val="00C5634F"/>
    <w:rsid w:val="00C617B3"/>
    <w:rsid w:val="00C66A4A"/>
    <w:rsid w:val="00C70DE0"/>
    <w:rsid w:val="00C8321E"/>
    <w:rsid w:val="00C84FE2"/>
    <w:rsid w:val="00C86492"/>
    <w:rsid w:val="00C90C2B"/>
    <w:rsid w:val="00CB3368"/>
    <w:rsid w:val="00CD12E3"/>
    <w:rsid w:val="00CD3E0B"/>
    <w:rsid w:val="00CD70F3"/>
    <w:rsid w:val="00CD755A"/>
    <w:rsid w:val="00CE1042"/>
    <w:rsid w:val="00CE6DE0"/>
    <w:rsid w:val="00CF1011"/>
    <w:rsid w:val="00CF5021"/>
    <w:rsid w:val="00D026FC"/>
    <w:rsid w:val="00D114EF"/>
    <w:rsid w:val="00D224DF"/>
    <w:rsid w:val="00D263F1"/>
    <w:rsid w:val="00D313A3"/>
    <w:rsid w:val="00D32078"/>
    <w:rsid w:val="00D328BE"/>
    <w:rsid w:val="00D351ED"/>
    <w:rsid w:val="00D623A6"/>
    <w:rsid w:val="00D72465"/>
    <w:rsid w:val="00D774D0"/>
    <w:rsid w:val="00D903F1"/>
    <w:rsid w:val="00D934BA"/>
    <w:rsid w:val="00D94316"/>
    <w:rsid w:val="00D97A9D"/>
    <w:rsid w:val="00DA49A9"/>
    <w:rsid w:val="00DB340F"/>
    <w:rsid w:val="00DC24CB"/>
    <w:rsid w:val="00DC3467"/>
    <w:rsid w:val="00DD7737"/>
    <w:rsid w:val="00DE3E8D"/>
    <w:rsid w:val="00DF26C5"/>
    <w:rsid w:val="00DF44A3"/>
    <w:rsid w:val="00E106B9"/>
    <w:rsid w:val="00E11B95"/>
    <w:rsid w:val="00E1659D"/>
    <w:rsid w:val="00E22CA7"/>
    <w:rsid w:val="00E23FAF"/>
    <w:rsid w:val="00E24D94"/>
    <w:rsid w:val="00E2616D"/>
    <w:rsid w:val="00E54932"/>
    <w:rsid w:val="00E55EB5"/>
    <w:rsid w:val="00E56A0E"/>
    <w:rsid w:val="00E60D90"/>
    <w:rsid w:val="00E617A2"/>
    <w:rsid w:val="00E63417"/>
    <w:rsid w:val="00E6655C"/>
    <w:rsid w:val="00E73617"/>
    <w:rsid w:val="00E76928"/>
    <w:rsid w:val="00E819FF"/>
    <w:rsid w:val="00E847D0"/>
    <w:rsid w:val="00E9359E"/>
    <w:rsid w:val="00EA04A3"/>
    <w:rsid w:val="00EA5AC3"/>
    <w:rsid w:val="00EA73C1"/>
    <w:rsid w:val="00EB54F6"/>
    <w:rsid w:val="00EB7A24"/>
    <w:rsid w:val="00EC0F55"/>
    <w:rsid w:val="00EC2A35"/>
    <w:rsid w:val="00EC5AC7"/>
    <w:rsid w:val="00ED23BE"/>
    <w:rsid w:val="00ED6081"/>
    <w:rsid w:val="00ED7653"/>
    <w:rsid w:val="00EE18CC"/>
    <w:rsid w:val="00EF0866"/>
    <w:rsid w:val="00EF1E3D"/>
    <w:rsid w:val="00EF357E"/>
    <w:rsid w:val="00EF7114"/>
    <w:rsid w:val="00EF7A4E"/>
    <w:rsid w:val="00F04945"/>
    <w:rsid w:val="00F05BCC"/>
    <w:rsid w:val="00F17D02"/>
    <w:rsid w:val="00F26B9A"/>
    <w:rsid w:val="00F352A5"/>
    <w:rsid w:val="00F36D7D"/>
    <w:rsid w:val="00F37734"/>
    <w:rsid w:val="00F43CD1"/>
    <w:rsid w:val="00F50376"/>
    <w:rsid w:val="00F52A5A"/>
    <w:rsid w:val="00F65FCE"/>
    <w:rsid w:val="00F66603"/>
    <w:rsid w:val="00F763E7"/>
    <w:rsid w:val="00F769A2"/>
    <w:rsid w:val="00F87CB0"/>
    <w:rsid w:val="00F90A07"/>
    <w:rsid w:val="00F96177"/>
    <w:rsid w:val="00F96322"/>
    <w:rsid w:val="00FA36DE"/>
    <w:rsid w:val="00FA48C3"/>
    <w:rsid w:val="00FB1097"/>
    <w:rsid w:val="00FC75C4"/>
    <w:rsid w:val="00FD58A6"/>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81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NormalWeb">
    <w:name w:val="Normal (Web)"/>
    <w:basedOn w:val="Normal"/>
    <w:uiPriority w:val="99"/>
    <w:semiHidden/>
    <w:unhideWhenUsed/>
    <w:rsid w:val="00673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2702208">
      <w:bodyDiv w:val="1"/>
      <w:marLeft w:val="0"/>
      <w:marRight w:val="0"/>
      <w:marTop w:val="0"/>
      <w:marBottom w:val="0"/>
      <w:divBdr>
        <w:top w:val="none" w:sz="0" w:space="0" w:color="auto"/>
        <w:left w:val="none" w:sz="0" w:space="0" w:color="auto"/>
        <w:bottom w:val="none" w:sz="0" w:space="0" w:color="auto"/>
        <w:right w:val="none" w:sz="0" w:space="0" w:color="auto"/>
      </w:divBdr>
      <w:divsChild>
        <w:div w:id="1667436579">
          <w:marLeft w:val="0"/>
          <w:marRight w:val="0"/>
          <w:marTop w:val="0"/>
          <w:marBottom w:val="0"/>
          <w:divBdr>
            <w:top w:val="none" w:sz="0" w:space="0" w:color="auto"/>
            <w:left w:val="none" w:sz="0" w:space="0" w:color="auto"/>
            <w:bottom w:val="none" w:sz="0" w:space="0" w:color="auto"/>
            <w:right w:val="none" w:sz="0" w:space="0" w:color="auto"/>
          </w:divBdr>
          <w:divsChild>
            <w:div w:id="762842803">
              <w:marLeft w:val="0"/>
              <w:marRight w:val="0"/>
              <w:marTop w:val="0"/>
              <w:marBottom w:val="0"/>
              <w:divBdr>
                <w:top w:val="none" w:sz="0" w:space="0" w:color="auto"/>
                <w:left w:val="none" w:sz="0" w:space="0" w:color="auto"/>
                <w:bottom w:val="none" w:sz="0" w:space="0" w:color="auto"/>
                <w:right w:val="none" w:sz="0" w:space="0" w:color="auto"/>
              </w:divBdr>
              <w:divsChild>
                <w:div w:id="70278812">
                  <w:marLeft w:val="0"/>
                  <w:marRight w:val="0"/>
                  <w:marTop w:val="0"/>
                  <w:marBottom w:val="0"/>
                  <w:divBdr>
                    <w:top w:val="none" w:sz="0" w:space="0" w:color="auto"/>
                    <w:left w:val="none" w:sz="0" w:space="0" w:color="auto"/>
                    <w:bottom w:val="none" w:sz="0" w:space="0" w:color="auto"/>
                    <w:right w:val="none" w:sz="0" w:space="0" w:color="auto"/>
                  </w:divBdr>
                  <w:divsChild>
                    <w:div w:id="1943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460808663">
      <w:bodyDiv w:val="1"/>
      <w:marLeft w:val="0"/>
      <w:marRight w:val="0"/>
      <w:marTop w:val="0"/>
      <w:marBottom w:val="0"/>
      <w:divBdr>
        <w:top w:val="none" w:sz="0" w:space="0" w:color="auto"/>
        <w:left w:val="none" w:sz="0" w:space="0" w:color="auto"/>
        <w:bottom w:val="none" w:sz="0" w:space="0" w:color="auto"/>
        <w:right w:val="none" w:sz="0" w:space="0" w:color="auto"/>
      </w:divBdr>
      <w:divsChild>
        <w:div w:id="1320962274">
          <w:marLeft w:val="0"/>
          <w:marRight w:val="0"/>
          <w:marTop w:val="0"/>
          <w:marBottom w:val="0"/>
          <w:divBdr>
            <w:top w:val="none" w:sz="0" w:space="0" w:color="auto"/>
            <w:left w:val="none" w:sz="0" w:space="0" w:color="auto"/>
            <w:bottom w:val="none" w:sz="0" w:space="0" w:color="auto"/>
            <w:right w:val="none" w:sz="0" w:space="0" w:color="auto"/>
          </w:divBdr>
          <w:divsChild>
            <w:div w:id="600917666">
              <w:marLeft w:val="0"/>
              <w:marRight w:val="0"/>
              <w:marTop w:val="0"/>
              <w:marBottom w:val="0"/>
              <w:divBdr>
                <w:top w:val="none" w:sz="0" w:space="0" w:color="auto"/>
                <w:left w:val="none" w:sz="0" w:space="0" w:color="auto"/>
                <w:bottom w:val="none" w:sz="0" w:space="0" w:color="auto"/>
                <w:right w:val="none" w:sz="0" w:space="0" w:color="auto"/>
              </w:divBdr>
              <w:divsChild>
                <w:div w:id="14274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684122">
      <w:bodyDiv w:val="1"/>
      <w:marLeft w:val="0"/>
      <w:marRight w:val="0"/>
      <w:marTop w:val="0"/>
      <w:marBottom w:val="0"/>
      <w:divBdr>
        <w:top w:val="none" w:sz="0" w:space="0" w:color="auto"/>
        <w:left w:val="none" w:sz="0" w:space="0" w:color="auto"/>
        <w:bottom w:val="none" w:sz="0" w:space="0" w:color="auto"/>
        <w:right w:val="none" w:sz="0" w:space="0" w:color="auto"/>
      </w:divBdr>
      <w:divsChild>
        <w:div w:id="1470128092">
          <w:marLeft w:val="0"/>
          <w:marRight w:val="0"/>
          <w:marTop w:val="0"/>
          <w:marBottom w:val="0"/>
          <w:divBdr>
            <w:top w:val="none" w:sz="0" w:space="0" w:color="auto"/>
            <w:left w:val="none" w:sz="0" w:space="0" w:color="auto"/>
            <w:bottom w:val="none" w:sz="0" w:space="0" w:color="auto"/>
            <w:right w:val="none" w:sz="0" w:space="0" w:color="auto"/>
          </w:divBdr>
          <w:divsChild>
            <w:div w:id="330329888">
              <w:marLeft w:val="0"/>
              <w:marRight w:val="0"/>
              <w:marTop w:val="0"/>
              <w:marBottom w:val="0"/>
              <w:divBdr>
                <w:top w:val="none" w:sz="0" w:space="0" w:color="auto"/>
                <w:left w:val="none" w:sz="0" w:space="0" w:color="auto"/>
                <w:bottom w:val="none" w:sz="0" w:space="0" w:color="auto"/>
                <w:right w:val="none" w:sz="0" w:space="0" w:color="auto"/>
              </w:divBdr>
              <w:divsChild>
                <w:div w:id="106850178">
                  <w:marLeft w:val="0"/>
                  <w:marRight w:val="0"/>
                  <w:marTop w:val="0"/>
                  <w:marBottom w:val="0"/>
                  <w:divBdr>
                    <w:top w:val="none" w:sz="0" w:space="0" w:color="auto"/>
                    <w:left w:val="none" w:sz="0" w:space="0" w:color="auto"/>
                    <w:bottom w:val="none" w:sz="0" w:space="0" w:color="auto"/>
                    <w:right w:val="none" w:sz="0" w:space="0" w:color="auto"/>
                  </w:divBdr>
                  <w:divsChild>
                    <w:div w:id="1307708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72630340">
      <w:bodyDiv w:val="1"/>
      <w:marLeft w:val="0"/>
      <w:marRight w:val="0"/>
      <w:marTop w:val="0"/>
      <w:marBottom w:val="0"/>
      <w:divBdr>
        <w:top w:val="none" w:sz="0" w:space="0" w:color="auto"/>
        <w:left w:val="none" w:sz="0" w:space="0" w:color="auto"/>
        <w:bottom w:val="none" w:sz="0" w:space="0" w:color="auto"/>
        <w:right w:val="none" w:sz="0" w:space="0" w:color="auto"/>
      </w:divBdr>
      <w:divsChild>
        <w:div w:id="1070691544">
          <w:marLeft w:val="0"/>
          <w:marRight w:val="0"/>
          <w:marTop w:val="0"/>
          <w:marBottom w:val="0"/>
          <w:divBdr>
            <w:top w:val="none" w:sz="0" w:space="0" w:color="auto"/>
            <w:left w:val="none" w:sz="0" w:space="0" w:color="auto"/>
            <w:bottom w:val="none" w:sz="0" w:space="0" w:color="auto"/>
            <w:right w:val="none" w:sz="0" w:space="0" w:color="auto"/>
          </w:divBdr>
          <w:divsChild>
            <w:div w:id="1387795652">
              <w:marLeft w:val="0"/>
              <w:marRight w:val="0"/>
              <w:marTop w:val="0"/>
              <w:marBottom w:val="0"/>
              <w:divBdr>
                <w:top w:val="none" w:sz="0" w:space="0" w:color="auto"/>
                <w:left w:val="none" w:sz="0" w:space="0" w:color="auto"/>
                <w:bottom w:val="none" w:sz="0" w:space="0" w:color="auto"/>
                <w:right w:val="none" w:sz="0" w:space="0" w:color="auto"/>
              </w:divBdr>
              <w:divsChild>
                <w:div w:id="1425222938">
                  <w:marLeft w:val="0"/>
                  <w:marRight w:val="0"/>
                  <w:marTop w:val="0"/>
                  <w:marBottom w:val="0"/>
                  <w:divBdr>
                    <w:top w:val="none" w:sz="0" w:space="0" w:color="auto"/>
                    <w:left w:val="none" w:sz="0" w:space="0" w:color="auto"/>
                    <w:bottom w:val="none" w:sz="0" w:space="0" w:color="auto"/>
                    <w:right w:val="none" w:sz="0" w:space="0" w:color="auto"/>
                  </w:divBdr>
                  <w:divsChild>
                    <w:div w:id="14329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085423">
      <w:bodyDiv w:val="1"/>
      <w:marLeft w:val="0"/>
      <w:marRight w:val="0"/>
      <w:marTop w:val="0"/>
      <w:marBottom w:val="0"/>
      <w:divBdr>
        <w:top w:val="none" w:sz="0" w:space="0" w:color="auto"/>
        <w:left w:val="none" w:sz="0" w:space="0" w:color="auto"/>
        <w:bottom w:val="none" w:sz="0" w:space="0" w:color="auto"/>
        <w:right w:val="none" w:sz="0" w:space="0" w:color="auto"/>
      </w:divBdr>
      <w:divsChild>
        <w:div w:id="1425955757">
          <w:marLeft w:val="0"/>
          <w:marRight w:val="0"/>
          <w:marTop w:val="0"/>
          <w:marBottom w:val="0"/>
          <w:divBdr>
            <w:top w:val="none" w:sz="0" w:space="0" w:color="auto"/>
            <w:left w:val="none" w:sz="0" w:space="0" w:color="auto"/>
            <w:bottom w:val="none" w:sz="0" w:space="0" w:color="auto"/>
            <w:right w:val="none" w:sz="0" w:space="0" w:color="auto"/>
          </w:divBdr>
          <w:divsChild>
            <w:div w:id="2145200340">
              <w:marLeft w:val="0"/>
              <w:marRight w:val="0"/>
              <w:marTop w:val="0"/>
              <w:marBottom w:val="0"/>
              <w:divBdr>
                <w:top w:val="none" w:sz="0" w:space="0" w:color="auto"/>
                <w:left w:val="none" w:sz="0" w:space="0" w:color="auto"/>
                <w:bottom w:val="none" w:sz="0" w:space="0" w:color="auto"/>
                <w:right w:val="none" w:sz="0" w:space="0" w:color="auto"/>
              </w:divBdr>
              <w:divsChild>
                <w:div w:id="124036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487123">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496190915">
      <w:bodyDiv w:val="1"/>
      <w:marLeft w:val="0"/>
      <w:marRight w:val="0"/>
      <w:marTop w:val="0"/>
      <w:marBottom w:val="0"/>
      <w:divBdr>
        <w:top w:val="none" w:sz="0" w:space="0" w:color="auto"/>
        <w:left w:val="none" w:sz="0" w:space="0" w:color="auto"/>
        <w:bottom w:val="none" w:sz="0" w:space="0" w:color="auto"/>
        <w:right w:val="none" w:sz="0" w:space="0" w:color="auto"/>
      </w:divBdr>
      <w:divsChild>
        <w:div w:id="1456025322">
          <w:marLeft w:val="0"/>
          <w:marRight w:val="0"/>
          <w:marTop w:val="0"/>
          <w:marBottom w:val="0"/>
          <w:divBdr>
            <w:top w:val="none" w:sz="0" w:space="0" w:color="auto"/>
            <w:left w:val="none" w:sz="0" w:space="0" w:color="auto"/>
            <w:bottom w:val="none" w:sz="0" w:space="0" w:color="auto"/>
            <w:right w:val="none" w:sz="0" w:space="0" w:color="auto"/>
          </w:divBdr>
          <w:divsChild>
            <w:div w:id="391202132">
              <w:marLeft w:val="0"/>
              <w:marRight w:val="0"/>
              <w:marTop w:val="0"/>
              <w:marBottom w:val="0"/>
              <w:divBdr>
                <w:top w:val="none" w:sz="0" w:space="0" w:color="auto"/>
                <w:left w:val="none" w:sz="0" w:space="0" w:color="auto"/>
                <w:bottom w:val="none" w:sz="0" w:space="0" w:color="auto"/>
                <w:right w:val="none" w:sz="0" w:space="0" w:color="auto"/>
              </w:divBdr>
              <w:divsChild>
                <w:div w:id="918910177">
                  <w:marLeft w:val="0"/>
                  <w:marRight w:val="0"/>
                  <w:marTop w:val="0"/>
                  <w:marBottom w:val="0"/>
                  <w:divBdr>
                    <w:top w:val="none" w:sz="0" w:space="0" w:color="auto"/>
                    <w:left w:val="none" w:sz="0" w:space="0" w:color="auto"/>
                    <w:bottom w:val="none" w:sz="0" w:space="0" w:color="auto"/>
                    <w:right w:val="none" w:sz="0" w:space="0" w:color="auto"/>
                  </w:divBdr>
                  <w:divsChild>
                    <w:div w:id="541720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2830575">
      <w:bodyDiv w:val="1"/>
      <w:marLeft w:val="0"/>
      <w:marRight w:val="0"/>
      <w:marTop w:val="0"/>
      <w:marBottom w:val="0"/>
      <w:divBdr>
        <w:top w:val="none" w:sz="0" w:space="0" w:color="auto"/>
        <w:left w:val="none" w:sz="0" w:space="0" w:color="auto"/>
        <w:bottom w:val="none" w:sz="0" w:space="0" w:color="auto"/>
        <w:right w:val="none" w:sz="0" w:space="0" w:color="auto"/>
      </w:divBdr>
      <w:divsChild>
        <w:div w:id="901329576">
          <w:marLeft w:val="0"/>
          <w:marRight w:val="0"/>
          <w:marTop w:val="0"/>
          <w:marBottom w:val="0"/>
          <w:divBdr>
            <w:top w:val="none" w:sz="0" w:space="0" w:color="auto"/>
            <w:left w:val="none" w:sz="0" w:space="0" w:color="auto"/>
            <w:bottom w:val="none" w:sz="0" w:space="0" w:color="auto"/>
            <w:right w:val="none" w:sz="0" w:space="0" w:color="auto"/>
          </w:divBdr>
          <w:divsChild>
            <w:div w:id="1356804501">
              <w:marLeft w:val="0"/>
              <w:marRight w:val="0"/>
              <w:marTop w:val="0"/>
              <w:marBottom w:val="0"/>
              <w:divBdr>
                <w:top w:val="none" w:sz="0" w:space="0" w:color="auto"/>
                <w:left w:val="none" w:sz="0" w:space="0" w:color="auto"/>
                <w:bottom w:val="none" w:sz="0" w:space="0" w:color="auto"/>
                <w:right w:val="none" w:sz="0" w:space="0" w:color="auto"/>
              </w:divBdr>
              <w:divsChild>
                <w:div w:id="65052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94929024">
      <w:bodyDiv w:val="1"/>
      <w:marLeft w:val="0"/>
      <w:marRight w:val="0"/>
      <w:marTop w:val="0"/>
      <w:marBottom w:val="0"/>
      <w:divBdr>
        <w:top w:val="none" w:sz="0" w:space="0" w:color="auto"/>
        <w:left w:val="none" w:sz="0" w:space="0" w:color="auto"/>
        <w:bottom w:val="none" w:sz="0" w:space="0" w:color="auto"/>
        <w:right w:val="none" w:sz="0" w:space="0" w:color="auto"/>
      </w:divBdr>
      <w:divsChild>
        <w:div w:id="1758821544">
          <w:marLeft w:val="0"/>
          <w:marRight w:val="0"/>
          <w:marTop w:val="0"/>
          <w:marBottom w:val="0"/>
          <w:divBdr>
            <w:top w:val="none" w:sz="0" w:space="0" w:color="auto"/>
            <w:left w:val="none" w:sz="0" w:space="0" w:color="auto"/>
            <w:bottom w:val="none" w:sz="0" w:space="0" w:color="auto"/>
            <w:right w:val="none" w:sz="0" w:space="0" w:color="auto"/>
          </w:divBdr>
          <w:divsChild>
            <w:div w:id="572400345">
              <w:marLeft w:val="0"/>
              <w:marRight w:val="0"/>
              <w:marTop w:val="0"/>
              <w:marBottom w:val="0"/>
              <w:divBdr>
                <w:top w:val="none" w:sz="0" w:space="0" w:color="auto"/>
                <w:left w:val="none" w:sz="0" w:space="0" w:color="auto"/>
                <w:bottom w:val="none" w:sz="0" w:space="0" w:color="auto"/>
                <w:right w:val="none" w:sz="0" w:space="0" w:color="auto"/>
              </w:divBdr>
              <w:divsChild>
                <w:div w:id="122784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310868">
      <w:bodyDiv w:val="1"/>
      <w:marLeft w:val="0"/>
      <w:marRight w:val="0"/>
      <w:marTop w:val="0"/>
      <w:marBottom w:val="0"/>
      <w:divBdr>
        <w:top w:val="none" w:sz="0" w:space="0" w:color="auto"/>
        <w:left w:val="none" w:sz="0" w:space="0" w:color="auto"/>
        <w:bottom w:val="none" w:sz="0" w:space="0" w:color="auto"/>
        <w:right w:val="none" w:sz="0" w:space="0" w:color="auto"/>
      </w:divBdr>
    </w:div>
    <w:div w:id="1976447727">
      <w:bodyDiv w:val="1"/>
      <w:marLeft w:val="0"/>
      <w:marRight w:val="0"/>
      <w:marTop w:val="0"/>
      <w:marBottom w:val="0"/>
      <w:divBdr>
        <w:top w:val="none" w:sz="0" w:space="0" w:color="auto"/>
        <w:left w:val="none" w:sz="0" w:space="0" w:color="auto"/>
        <w:bottom w:val="none" w:sz="0" w:space="0" w:color="auto"/>
        <w:right w:val="none" w:sz="0" w:space="0" w:color="auto"/>
      </w:divBdr>
    </w:div>
    <w:div w:id="2046438893">
      <w:bodyDiv w:val="1"/>
      <w:marLeft w:val="0"/>
      <w:marRight w:val="0"/>
      <w:marTop w:val="0"/>
      <w:marBottom w:val="0"/>
      <w:divBdr>
        <w:top w:val="none" w:sz="0" w:space="0" w:color="auto"/>
        <w:left w:val="none" w:sz="0" w:space="0" w:color="auto"/>
        <w:bottom w:val="none" w:sz="0" w:space="0" w:color="auto"/>
        <w:right w:val="none" w:sz="0" w:space="0" w:color="auto"/>
      </w:divBdr>
      <w:divsChild>
        <w:div w:id="1529220974">
          <w:marLeft w:val="0"/>
          <w:marRight w:val="0"/>
          <w:marTop w:val="0"/>
          <w:marBottom w:val="0"/>
          <w:divBdr>
            <w:top w:val="none" w:sz="0" w:space="0" w:color="auto"/>
            <w:left w:val="none" w:sz="0" w:space="0" w:color="auto"/>
            <w:bottom w:val="none" w:sz="0" w:space="0" w:color="auto"/>
            <w:right w:val="none" w:sz="0" w:space="0" w:color="auto"/>
          </w:divBdr>
          <w:divsChild>
            <w:div w:id="1159737266">
              <w:marLeft w:val="0"/>
              <w:marRight w:val="0"/>
              <w:marTop w:val="0"/>
              <w:marBottom w:val="0"/>
              <w:divBdr>
                <w:top w:val="none" w:sz="0" w:space="0" w:color="auto"/>
                <w:left w:val="none" w:sz="0" w:space="0" w:color="auto"/>
                <w:bottom w:val="none" w:sz="0" w:space="0" w:color="auto"/>
                <w:right w:val="none" w:sz="0" w:space="0" w:color="auto"/>
              </w:divBdr>
              <w:divsChild>
                <w:div w:id="1426924638">
                  <w:marLeft w:val="0"/>
                  <w:marRight w:val="0"/>
                  <w:marTop w:val="0"/>
                  <w:marBottom w:val="0"/>
                  <w:divBdr>
                    <w:top w:val="none" w:sz="0" w:space="0" w:color="auto"/>
                    <w:left w:val="none" w:sz="0" w:space="0" w:color="auto"/>
                    <w:bottom w:val="none" w:sz="0" w:space="0" w:color="auto"/>
                    <w:right w:val="none" w:sz="0" w:space="0" w:color="auto"/>
                  </w:divBdr>
                  <w:divsChild>
                    <w:div w:id="207057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197583">
      <w:bodyDiv w:val="1"/>
      <w:marLeft w:val="0"/>
      <w:marRight w:val="0"/>
      <w:marTop w:val="0"/>
      <w:marBottom w:val="0"/>
      <w:divBdr>
        <w:top w:val="none" w:sz="0" w:space="0" w:color="auto"/>
        <w:left w:val="none" w:sz="0" w:space="0" w:color="auto"/>
        <w:bottom w:val="none" w:sz="0" w:space="0" w:color="auto"/>
        <w:right w:val="none" w:sz="0" w:space="0" w:color="auto"/>
      </w:divBdr>
      <w:divsChild>
        <w:div w:id="1247349333">
          <w:marLeft w:val="0"/>
          <w:marRight w:val="0"/>
          <w:marTop w:val="0"/>
          <w:marBottom w:val="0"/>
          <w:divBdr>
            <w:top w:val="none" w:sz="0" w:space="0" w:color="auto"/>
            <w:left w:val="none" w:sz="0" w:space="0" w:color="auto"/>
            <w:bottom w:val="none" w:sz="0" w:space="0" w:color="auto"/>
            <w:right w:val="none" w:sz="0" w:space="0" w:color="auto"/>
          </w:divBdr>
          <w:divsChild>
            <w:div w:id="572663426">
              <w:marLeft w:val="0"/>
              <w:marRight w:val="0"/>
              <w:marTop w:val="0"/>
              <w:marBottom w:val="0"/>
              <w:divBdr>
                <w:top w:val="none" w:sz="0" w:space="0" w:color="auto"/>
                <w:left w:val="none" w:sz="0" w:space="0" w:color="auto"/>
                <w:bottom w:val="none" w:sz="0" w:space="0" w:color="auto"/>
                <w:right w:val="none" w:sz="0" w:space="0" w:color="auto"/>
              </w:divBdr>
              <w:divsChild>
                <w:div w:id="185691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3563</Words>
  <Characters>20314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2020-10-16T19:05:00Z</dcterms:created>
  <dcterms:modified xsi:type="dcterms:W3CDTF">2020-10-17T02:09:00Z</dcterms:modified>
  <cp:category/>
</cp:coreProperties>
</file>